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6A74F" w14:textId="3F55C981" w:rsidR="00B87CA6" w:rsidRPr="0030135C" w:rsidRDefault="00FB6446" w:rsidP="0030135C">
      <w:pPr>
        <w:spacing w:line="360" w:lineRule="auto"/>
        <w:jc w:val="both"/>
        <w:rPr>
          <w:b/>
        </w:rPr>
      </w:pPr>
      <w:r w:rsidRPr="0030135C">
        <w:rPr>
          <w:b/>
        </w:rPr>
        <w:t xml:space="preserve">Encarar </w:t>
      </w:r>
      <w:r w:rsidR="00EC6575" w:rsidRPr="0030135C">
        <w:rPr>
          <w:b/>
        </w:rPr>
        <w:t xml:space="preserve">el miedo: </w:t>
      </w:r>
      <w:r w:rsidR="00B87CA6" w:rsidRPr="0030135C">
        <w:rPr>
          <w:b/>
        </w:rPr>
        <w:t>Don Francisco Fernández de la Cueva, VII</w:t>
      </w:r>
      <w:r w:rsidR="00BE6602" w:rsidRPr="0030135C">
        <w:rPr>
          <w:b/>
        </w:rPr>
        <w:t>I</w:t>
      </w:r>
      <w:r w:rsidR="00B87CA6" w:rsidRPr="0030135C">
        <w:rPr>
          <w:b/>
        </w:rPr>
        <w:t xml:space="preserve"> duqu</w:t>
      </w:r>
      <w:r w:rsidR="00EC6575" w:rsidRPr="0030135C">
        <w:rPr>
          <w:b/>
        </w:rPr>
        <w:t>e de Alburquerqu</w:t>
      </w:r>
      <w:bookmarkStart w:id="0" w:name="_GoBack"/>
      <w:bookmarkEnd w:id="0"/>
      <w:r w:rsidR="00EC6575" w:rsidRPr="0030135C">
        <w:rPr>
          <w:b/>
        </w:rPr>
        <w:t xml:space="preserve">e (1619-1676), Virrey de Nueva España y de Sicilia; sobre su estancia en Flandes y </w:t>
      </w:r>
      <w:r w:rsidR="00B87CA6" w:rsidRPr="0030135C">
        <w:rPr>
          <w:b/>
        </w:rPr>
        <w:t xml:space="preserve">su retrato por los hermanos Michaelina y Charles </w:t>
      </w:r>
      <w:r w:rsidR="00EC6575" w:rsidRPr="0030135C">
        <w:rPr>
          <w:b/>
        </w:rPr>
        <w:t>Wautier</w:t>
      </w:r>
      <w:r w:rsidR="004B4BFD" w:rsidRPr="0030135C">
        <w:rPr>
          <w:b/>
        </w:rPr>
        <w:t>.</w:t>
      </w:r>
    </w:p>
    <w:p w14:paraId="3196AE79" w14:textId="77777777" w:rsidR="00FB6446" w:rsidRPr="0030135C" w:rsidRDefault="00FB6446" w:rsidP="0030135C">
      <w:pPr>
        <w:spacing w:line="360" w:lineRule="auto"/>
        <w:jc w:val="both"/>
        <w:rPr>
          <w:b/>
        </w:rPr>
      </w:pPr>
    </w:p>
    <w:p w14:paraId="382EECE8" w14:textId="28A6D332" w:rsidR="0050162B" w:rsidRPr="0030135C" w:rsidRDefault="00FD1C0E" w:rsidP="0030135C">
      <w:pPr>
        <w:spacing w:line="360" w:lineRule="auto"/>
        <w:rPr>
          <w:u w:val="single"/>
        </w:rPr>
      </w:pPr>
      <w:r w:rsidRPr="0030135C">
        <w:rPr>
          <w:u w:val="single"/>
        </w:rPr>
        <w:t>Resumen</w:t>
      </w:r>
      <w:r w:rsidR="0050162B" w:rsidRPr="0030135C">
        <w:rPr>
          <w:u w:val="single"/>
        </w:rPr>
        <w:t>:</w:t>
      </w:r>
    </w:p>
    <w:p w14:paraId="17860E48" w14:textId="5B6C525B" w:rsidR="00DB7C53" w:rsidRPr="0030135C" w:rsidRDefault="006F4F2E" w:rsidP="0030135C">
      <w:pPr>
        <w:spacing w:line="360" w:lineRule="auto"/>
        <w:jc w:val="both"/>
      </w:pPr>
      <w:r w:rsidRPr="0030135C">
        <w:t xml:space="preserve">El presente artículo </w:t>
      </w:r>
      <w:r w:rsidR="000968F6" w:rsidRPr="0030135C">
        <w:t xml:space="preserve">desvela la identidad y autoría de un </w:t>
      </w:r>
      <w:r w:rsidR="000968F6" w:rsidRPr="0030135C">
        <w:rPr>
          <w:i/>
        </w:rPr>
        <w:t>Retrato de Caballero desconocido</w:t>
      </w:r>
      <w:r w:rsidR="000968F6" w:rsidRPr="0030135C">
        <w:t xml:space="preserve"> que </w:t>
      </w:r>
      <w:r w:rsidRPr="0030135C">
        <w:t>estuvo atribuido</w:t>
      </w:r>
      <w:r w:rsidR="00EF1DE1" w:rsidRPr="0030135C">
        <w:t xml:space="preserve"> al cí</w:t>
      </w:r>
      <w:r w:rsidR="000F23C2" w:rsidRPr="0030135C">
        <w:t xml:space="preserve">rculo </w:t>
      </w:r>
      <w:r w:rsidR="00DB7C53" w:rsidRPr="0030135C">
        <w:t>de Velázquez</w:t>
      </w:r>
      <w:r w:rsidR="000968F6" w:rsidRPr="0030135C">
        <w:t xml:space="preserve">. </w:t>
      </w:r>
      <w:r w:rsidRPr="0030135C">
        <w:t>En base a la peculiar fisionomía del retratado y al parecido</w:t>
      </w:r>
      <w:r w:rsidR="000968F6" w:rsidRPr="0030135C">
        <w:t xml:space="preserve"> con otros retra</w:t>
      </w:r>
      <w:r w:rsidRPr="0030135C">
        <w:t>tos conocidos, se</w:t>
      </w:r>
      <w:r w:rsidR="000968F6" w:rsidRPr="0030135C">
        <w:t xml:space="preserve"> identifica al personaje con Don Francisco Fernández de la Cueva, VIII duque de Alburquerque (1619-1676), Virrey de Nueva España </w:t>
      </w:r>
      <w:r w:rsidRPr="0030135C">
        <w:t xml:space="preserve">(1653-1660) </w:t>
      </w:r>
      <w:r w:rsidR="000968F6" w:rsidRPr="0030135C">
        <w:t>y de Sicilia</w:t>
      </w:r>
      <w:r w:rsidRPr="0030135C">
        <w:t xml:space="preserve"> (1668-1670)</w:t>
      </w:r>
      <w:r w:rsidR="000968F6" w:rsidRPr="0030135C">
        <w:t>. Alburquerque estuvo en Flandes</w:t>
      </w:r>
      <w:r w:rsidRPr="0030135C">
        <w:t xml:space="preserve"> entre 1640 y 1643,</w:t>
      </w:r>
      <w:r w:rsidR="000968F6" w:rsidRPr="0030135C">
        <w:t xml:space="preserve"> periodo durante </w:t>
      </w:r>
      <w:r w:rsidRPr="0030135C">
        <w:t xml:space="preserve">el cual </w:t>
      </w:r>
      <w:r w:rsidR="00EF1DE1" w:rsidRPr="0030135C">
        <w:t>habría sido retratado por</w:t>
      </w:r>
      <w:r w:rsidR="000968F6" w:rsidRPr="0030135C">
        <w:t xml:space="preserve"> los hermanos Michaelina y Charles Wautier, </w:t>
      </w:r>
      <w:r w:rsidR="00EF1DE1" w:rsidRPr="0030135C">
        <w:t>a quienes se resti</w:t>
      </w:r>
      <w:r w:rsidRPr="0030135C">
        <w:t>tu</w:t>
      </w:r>
      <w:r w:rsidR="00EF1DE1" w:rsidRPr="0030135C">
        <w:t xml:space="preserve">ye </w:t>
      </w:r>
      <w:r w:rsidRPr="0030135C">
        <w:t>la pintura</w:t>
      </w:r>
      <w:r w:rsidR="00EF1DE1" w:rsidRPr="0030135C">
        <w:t xml:space="preserve"> </w:t>
      </w:r>
      <w:r w:rsidR="000968F6" w:rsidRPr="0030135C">
        <w:t xml:space="preserve">tanto por </w:t>
      </w:r>
      <w:r w:rsidRPr="0030135C">
        <w:t xml:space="preserve">razones </w:t>
      </w:r>
      <w:r w:rsidR="000968F6" w:rsidRPr="0030135C">
        <w:t>estilística</w:t>
      </w:r>
      <w:r w:rsidRPr="0030135C">
        <w:t>s</w:t>
      </w:r>
      <w:r w:rsidR="000968F6" w:rsidRPr="0030135C">
        <w:t xml:space="preserve"> </w:t>
      </w:r>
      <w:r w:rsidR="004C7AFA">
        <w:t xml:space="preserve">e históricas </w:t>
      </w:r>
      <w:r w:rsidR="000968F6" w:rsidRPr="0030135C">
        <w:t>como por la evidencia de los restos de una firma</w:t>
      </w:r>
      <w:r w:rsidR="00710DD9" w:rsidRPr="0030135C">
        <w:t xml:space="preserve"> en</w:t>
      </w:r>
      <w:r w:rsidR="00EF1DE1" w:rsidRPr="0030135C">
        <w:t xml:space="preserve"> </w:t>
      </w:r>
      <w:r w:rsidRPr="0030135C">
        <w:t xml:space="preserve">la parte superior izquierda del </w:t>
      </w:r>
      <w:r w:rsidR="00EF1DE1" w:rsidRPr="0030135C">
        <w:t>lienzo</w:t>
      </w:r>
      <w:r w:rsidR="000968F6" w:rsidRPr="0030135C">
        <w:t xml:space="preserve">. </w:t>
      </w:r>
      <w:r w:rsidR="00FD1C0E" w:rsidRPr="0030135C">
        <w:t>El texto</w:t>
      </w:r>
      <w:r w:rsidR="000968F6" w:rsidRPr="0030135C">
        <w:t xml:space="preserve"> </w:t>
      </w:r>
      <w:r w:rsidR="00A8077D" w:rsidRPr="0030135C">
        <w:t xml:space="preserve">traza </w:t>
      </w:r>
      <w:r w:rsidR="000968F6" w:rsidRPr="0030135C">
        <w:t xml:space="preserve">la carrera </w:t>
      </w:r>
      <w:r w:rsidRPr="0030135C">
        <w:t xml:space="preserve">de este personaje ligado </w:t>
      </w:r>
      <w:r w:rsidR="000968F6" w:rsidRPr="0030135C">
        <w:t>a la historia de Esp</w:t>
      </w:r>
      <w:r w:rsidRPr="0030135C">
        <w:t xml:space="preserve">aña, </w:t>
      </w:r>
      <w:r w:rsidR="004323D2" w:rsidRPr="0030135C">
        <w:t xml:space="preserve">Flandes, </w:t>
      </w:r>
      <w:r w:rsidR="00D451FE" w:rsidRPr="0030135C">
        <w:t>Méx</w:t>
      </w:r>
      <w:r w:rsidR="000968F6" w:rsidRPr="0030135C">
        <w:t>ico</w:t>
      </w:r>
      <w:r w:rsidR="004323D2" w:rsidRPr="0030135C">
        <w:t xml:space="preserve"> y Sicilia</w:t>
      </w:r>
      <w:r w:rsidR="00EF1DE1" w:rsidRPr="0030135C">
        <w:t xml:space="preserve">, </w:t>
      </w:r>
      <w:r w:rsidR="00A8077D" w:rsidRPr="0030135C">
        <w:t>destacando</w:t>
      </w:r>
      <w:r w:rsidRPr="0030135C">
        <w:t xml:space="preserve"> su inclinación a las Bellas Artes y</w:t>
      </w:r>
      <w:r w:rsidR="000968F6" w:rsidRPr="0030135C">
        <w:t xml:space="preserve"> </w:t>
      </w:r>
      <w:r w:rsidRPr="0030135C">
        <w:t xml:space="preserve">adentrándose en </w:t>
      </w:r>
      <w:r w:rsidR="000968F6" w:rsidRPr="0030135C">
        <w:t>su polémica participación en la Batalla de Rocroi</w:t>
      </w:r>
      <w:r w:rsidRPr="0030135C">
        <w:t xml:space="preserve"> en 1643</w:t>
      </w:r>
      <w:r w:rsidR="000968F6" w:rsidRPr="0030135C">
        <w:t xml:space="preserve">. </w:t>
      </w:r>
    </w:p>
    <w:p w14:paraId="1A073EB1" w14:textId="375D8ADF" w:rsidR="00FD1C0E" w:rsidRPr="0030135C" w:rsidRDefault="0030135C" w:rsidP="0030135C">
      <w:pPr>
        <w:spacing w:line="360" w:lineRule="auto"/>
        <w:jc w:val="both"/>
        <w:rPr>
          <w:u w:val="single"/>
        </w:rPr>
      </w:pPr>
      <w:r w:rsidRPr="0030135C">
        <w:rPr>
          <w:u w:val="single"/>
        </w:rPr>
        <w:t>English:</w:t>
      </w:r>
    </w:p>
    <w:p w14:paraId="0FC3D57F" w14:textId="21140BDA" w:rsidR="00137E4C" w:rsidRDefault="00137E4C" w:rsidP="00137E4C">
      <w:pPr>
        <w:spacing w:line="360" w:lineRule="auto"/>
        <w:jc w:val="both"/>
        <w:rPr>
          <w:rFonts w:eastAsia="Times New Roman"/>
          <w:b/>
          <w:bCs/>
          <w:lang w:val="fr-FR"/>
        </w:rPr>
      </w:pPr>
      <w:r>
        <w:rPr>
          <w:rFonts w:eastAsia="Times New Roman"/>
          <w:b/>
          <w:bCs/>
          <w:lang w:val="fr-FR"/>
        </w:rPr>
        <w:t xml:space="preserve">Facing Fear. </w:t>
      </w:r>
      <w:r w:rsidRPr="00137E4C">
        <w:rPr>
          <w:rFonts w:eastAsia="Times New Roman"/>
          <w:b/>
          <w:bCs/>
          <w:lang w:val="fr-FR"/>
        </w:rPr>
        <w:t xml:space="preserve">Don Francisco Fernández de la Cueva, 8th Duke of  Alburquerque (1619-1676), Viceroy of New Spain and Sicily: on his stay in Flanders, and his portrait by siblings </w:t>
      </w:r>
      <w:r w:rsidR="00651DEB">
        <w:rPr>
          <w:rFonts w:eastAsia="Times New Roman"/>
          <w:b/>
          <w:bCs/>
          <w:lang w:val="fr-FR"/>
        </w:rPr>
        <w:t>Michaelina and Charles Wautier.</w:t>
      </w:r>
    </w:p>
    <w:p w14:paraId="079CAFE1" w14:textId="77777777" w:rsidR="00651DEB" w:rsidRPr="00137E4C" w:rsidRDefault="00651DEB" w:rsidP="00137E4C">
      <w:pPr>
        <w:spacing w:line="360" w:lineRule="auto"/>
        <w:jc w:val="both"/>
        <w:rPr>
          <w:rFonts w:eastAsia="Times New Roman"/>
          <w:b/>
          <w:bCs/>
          <w:lang w:val="fr-FR"/>
        </w:rPr>
      </w:pPr>
    </w:p>
    <w:p w14:paraId="11FB14AF" w14:textId="10D7F9C8" w:rsidR="00137E4C" w:rsidRPr="00137E4C" w:rsidRDefault="00137E4C" w:rsidP="00137E4C">
      <w:pPr>
        <w:spacing w:line="360" w:lineRule="auto"/>
        <w:jc w:val="both"/>
        <w:rPr>
          <w:rFonts w:eastAsia="Times New Roman"/>
          <w:bCs/>
          <w:lang w:val="fr-FR"/>
        </w:rPr>
      </w:pPr>
      <w:r w:rsidRPr="00137E4C">
        <w:rPr>
          <w:rFonts w:eastAsia="Times New Roman"/>
          <w:bCs/>
          <w:lang w:val="en"/>
        </w:rPr>
        <w:t>This paper reveals the identity and authorship of an unknown </w:t>
      </w:r>
      <w:r w:rsidRPr="00137E4C">
        <w:rPr>
          <w:rFonts w:eastAsia="Times New Roman"/>
          <w:bCs/>
          <w:i/>
          <w:iCs/>
          <w:lang w:val="en"/>
        </w:rPr>
        <w:t>Portrait of a Gentleman</w:t>
      </w:r>
      <w:r w:rsidRPr="00137E4C">
        <w:rPr>
          <w:rFonts w:eastAsia="Times New Roman"/>
          <w:bCs/>
          <w:lang w:val="en"/>
        </w:rPr>
        <w:t xml:space="preserve"> previously attributed to the circle of Diego Velázquez. Based on the peculiar physiognomy of the sitter, and in comparison to other known portraits, it can be identified as Don Francisco Fernández de la Cueva, 8th Duke of Alburquerque (1619-1676), Viceroy of New Spain (1653-1660) and Sicily (1668-1670). Albuquerque was known to be in Flanders between 1640 and 1643, during which time he was portrayed by siblings Michaelina and Charles Wautier, to whom the painting can now be attributed for stylistic and historical reasons, and supported by evidence of the remains of a signature in the upper left-hand corner of the canvas. This paper traces the career of the Duke of Albuquerque, which is linked to the history of Spain, Flanders, Mexico, and Sicily, highlighting his inclination towards the Fine Arts, whilst delving into his polemic participation in the Battle of Rocroi in 1643.</w:t>
      </w:r>
    </w:p>
    <w:p w14:paraId="2300EDB2" w14:textId="77777777" w:rsidR="00FD1C0E" w:rsidRPr="0030135C" w:rsidRDefault="00FD1C0E" w:rsidP="0030135C">
      <w:pPr>
        <w:spacing w:line="360" w:lineRule="auto"/>
        <w:jc w:val="both"/>
      </w:pPr>
    </w:p>
    <w:p w14:paraId="7C0FAA7C" w14:textId="1C1FA3A2" w:rsidR="00320A70" w:rsidRPr="0030135C" w:rsidRDefault="00D74637" w:rsidP="0030135C">
      <w:pPr>
        <w:spacing w:line="360" w:lineRule="auto"/>
        <w:jc w:val="both"/>
      </w:pPr>
      <w:r w:rsidRPr="0030135C">
        <w:t>Gracias a la exposición que el museo MAS y la Rubenshuis de A</w:t>
      </w:r>
      <w:r w:rsidR="00FB3F37" w:rsidRPr="0030135C">
        <w:t>mberes ha</w:t>
      </w:r>
      <w:r w:rsidR="00FF674D" w:rsidRPr="0030135C">
        <w:t>n</w:t>
      </w:r>
      <w:r w:rsidR="00FB3F37" w:rsidRPr="0030135C">
        <w:t xml:space="preserve"> dedicado en 2018</w:t>
      </w:r>
      <w:r w:rsidRPr="0030135C">
        <w:t xml:space="preserve"> a la figura de Michaelina Wautier </w:t>
      </w:r>
      <w:r w:rsidRPr="00230E97">
        <w:t>(</w:t>
      </w:r>
      <w:r w:rsidR="00155DFB" w:rsidRPr="00230E97">
        <w:t xml:space="preserve">Mons, </w:t>
      </w:r>
      <w:r w:rsidR="004C7AFA" w:rsidRPr="00230E97">
        <w:t>1604</w:t>
      </w:r>
      <w:r w:rsidR="00230E97">
        <w:t xml:space="preserve"> </w:t>
      </w:r>
      <w:r w:rsidR="004C7AFA" w:rsidRPr="00230E97">
        <w:t xml:space="preserve">- </w:t>
      </w:r>
      <w:r w:rsidR="00A8077D" w:rsidRPr="00230E97">
        <w:t xml:space="preserve">Bruselas, </w:t>
      </w:r>
      <w:r w:rsidRPr="00230E97">
        <w:t>1689)</w:t>
      </w:r>
      <w:r w:rsidR="002C6FAA" w:rsidRPr="00230E97">
        <w:rPr>
          <w:rStyle w:val="Marquenotebasdepage"/>
        </w:rPr>
        <w:footnoteReference w:id="1"/>
      </w:r>
      <w:r w:rsidRPr="00230E97">
        <w:t>,</w:t>
      </w:r>
      <w:r w:rsidRPr="0030135C">
        <w:t xml:space="preserve"> se ha puesto de relieve ante el conocimiento público la gran calidad de la obra de esta pintora olvidada en la historiografía</w:t>
      </w:r>
      <w:r w:rsidR="008535B3" w:rsidRPr="0030135C">
        <w:t xml:space="preserve">. </w:t>
      </w:r>
      <w:r w:rsidR="00F56D9C" w:rsidRPr="0030135C">
        <w:t>El</w:t>
      </w:r>
      <w:r w:rsidR="001D5B31" w:rsidRPr="0030135C">
        <w:t xml:space="preserve"> caso de Michaelina interesa porque es insólito</w:t>
      </w:r>
      <w:r w:rsidR="00521CBF" w:rsidRPr="0030135C">
        <w:t>. Sorprende que estemos aún en proceso de reconstrucción de</w:t>
      </w:r>
      <w:r w:rsidR="00F56D9C" w:rsidRPr="0030135C">
        <w:t xml:space="preserve"> la obra de esta mujer pintora, olvidada ha</w:t>
      </w:r>
      <w:r w:rsidR="00521CBF" w:rsidRPr="0030135C">
        <w:t>sta fechas recientes, que abordó</w:t>
      </w:r>
      <w:r w:rsidR="00F56D9C" w:rsidRPr="0030135C">
        <w:t xml:space="preserve"> con igual </w:t>
      </w:r>
      <w:r w:rsidR="0090493E" w:rsidRPr="0030135C">
        <w:t>logro</w:t>
      </w:r>
      <w:r w:rsidR="00F56D9C" w:rsidRPr="0030135C">
        <w:t xml:space="preserve"> todos lo </w:t>
      </w:r>
      <w:r w:rsidR="00521CBF" w:rsidRPr="0030135C">
        <w:t>géneros de la pintura</w:t>
      </w:r>
      <w:r w:rsidR="00E97715" w:rsidRPr="0030135C">
        <w:t xml:space="preserve">. </w:t>
      </w:r>
      <w:r w:rsidR="00053CEE">
        <w:t>La exposición</w:t>
      </w:r>
      <w:r w:rsidR="008535B3" w:rsidRPr="0030135C">
        <w:t xml:space="preserve"> ha destacado </w:t>
      </w:r>
      <w:r w:rsidR="00053CEE">
        <w:t xml:space="preserve">también </w:t>
      </w:r>
      <w:r w:rsidR="008535B3" w:rsidRPr="0030135C">
        <w:t xml:space="preserve">la </w:t>
      </w:r>
      <w:r w:rsidR="0087123C" w:rsidRPr="0030135C">
        <w:t>producción</w:t>
      </w:r>
      <w:r w:rsidR="008535B3" w:rsidRPr="0030135C">
        <w:t xml:space="preserve"> de </w:t>
      </w:r>
      <w:r w:rsidRPr="0030135C">
        <w:t xml:space="preserve">su hermano, </w:t>
      </w:r>
      <w:r w:rsidR="00320A70" w:rsidRPr="0030135C">
        <w:t>Charles Wautier (Mons, 1609 – Bruselas, 1703)</w:t>
      </w:r>
      <w:r w:rsidRPr="0030135C">
        <w:t>, así como</w:t>
      </w:r>
      <w:r w:rsidR="00320A70" w:rsidRPr="0030135C">
        <w:t xml:space="preserve"> </w:t>
      </w:r>
      <w:r w:rsidRPr="0030135C">
        <w:t>las características co</w:t>
      </w:r>
      <w:r w:rsidR="00FF674D" w:rsidRPr="0030135C">
        <w:t xml:space="preserve">munes de sus estilos. Como </w:t>
      </w:r>
      <w:r w:rsidR="00053CEE">
        <w:t xml:space="preserve">se ha apuntado </w:t>
      </w:r>
      <w:r w:rsidR="00FF674D" w:rsidRPr="0030135C">
        <w:t xml:space="preserve">sucesivas </w:t>
      </w:r>
      <w:r w:rsidR="00053CEE">
        <w:t>veces</w:t>
      </w:r>
      <w:r w:rsidR="00FF674D" w:rsidRPr="0030135C">
        <w:t>,  deslindar la obra de</w:t>
      </w:r>
      <w:r w:rsidRPr="0030135C">
        <w:t xml:space="preserve"> </w:t>
      </w:r>
      <w:r w:rsidR="00FF674D" w:rsidRPr="0030135C">
        <w:t xml:space="preserve">estos hermanos </w:t>
      </w:r>
      <w:r w:rsidR="000D3E8E" w:rsidRPr="0030135C">
        <w:t xml:space="preserve">unidos por la pintura </w:t>
      </w:r>
      <w:r w:rsidR="00FF674D" w:rsidRPr="0030135C">
        <w:t>es cuestión difícil de resolver</w:t>
      </w:r>
      <w:r w:rsidR="002C6FAA" w:rsidRPr="0030135C">
        <w:rPr>
          <w:rStyle w:val="Marquenotebasdepage"/>
        </w:rPr>
        <w:footnoteReference w:id="2"/>
      </w:r>
      <w:r w:rsidRPr="0030135C">
        <w:t>;</w:t>
      </w:r>
      <w:r w:rsidR="0087123C" w:rsidRPr="0030135C">
        <w:t xml:space="preserve"> y es que, probablemente, </w:t>
      </w:r>
      <w:r w:rsidRPr="0030135C">
        <w:t>trabajaron mano a mano</w:t>
      </w:r>
      <w:r w:rsidR="0087123C" w:rsidRPr="0030135C">
        <w:t xml:space="preserve"> en má</w:t>
      </w:r>
      <w:r w:rsidR="00FF674D" w:rsidRPr="0030135C">
        <w:t xml:space="preserve">s de una </w:t>
      </w:r>
      <w:r w:rsidR="00FF674D" w:rsidRPr="00053CEE">
        <w:t>ocasión</w:t>
      </w:r>
      <w:r w:rsidRPr="00053CEE">
        <w:t>,</w:t>
      </w:r>
      <w:r w:rsidRPr="0030135C">
        <w:t xml:space="preserve"> en una colaboración lógica al compartir vivienda </w:t>
      </w:r>
      <w:r w:rsidR="00FF674D" w:rsidRPr="0030135C">
        <w:t xml:space="preserve">y taller </w:t>
      </w:r>
      <w:r w:rsidR="00FB3F37" w:rsidRPr="0030135C">
        <w:t>en Bruselas. Hasta el momento s</w:t>
      </w:r>
      <w:r w:rsidR="008535B3" w:rsidRPr="0030135C">
        <w:t>ó</w:t>
      </w:r>
      <w:r w:rsidRPr="0030135C">
        <w:t xml:space="preserve">lo podemos </w:t>
      </w:r>
      <w:r w:rsidR="0069221C" w:rsidRPr="0030135C">
        <w:t>atender a las pi</w:t>
      </w:r>
      <w:r w:rsidR="0087123C" w:rsidRPr="0030135C">
        <w:t xml:space="preserve">nturas firmadas por uno y otro; y reunir otras por aproximación </w:t>
      </w:r>
      <w:r w:rsidR="000F23C2" w:rsidRPr="0030135C">
        <w:t>estilística. Hay, no obstante aú</w:t>
      </w:r>
      <w:r w:rsidR="0087123C" w:rsidRPr="0030135C">
        <w:t xml:space="preserve">n, todo un terreno común en el que cohabitan no solo física sino también artísticamente. </w:t>
      </w:r>
      <w:r w:rsidR="00F8165C" w:rsidRPr="0030135C">
        <w:t>Con motivo de la exposición</w:t>
      </w:r>
      <w:r w:rsidR="000C287C" w:rsidRPr="0030135C">
        <w:t xml:space="preserve"> </w:t>
      </w:r>
      <w:r w:rsidR="002C6FAA" w:rsidRPr="0030135C">
        <w:t xml:space="preserve">citada </w:t>
      </w:r>
      <w:r w:rsidR="000C287C" w:rsidRPr="0030135C">
        <w:t xml:space="preserve">han aflorado </w:t>
      </w:r>
      <w:r w:rsidR="0087123C" w:rsidRPr="0030135C">
        <w:t>importantes retratos, tanto de Charles como de Michaelina, que ponen de manifiesto el renombre</w:t>
      </w:r>
      <w:r w:rsidR="000F23C2" w:rsidRPr="0030135C">
        <w:t xml:space="preserve"> que lograron en el género y</w:t>
      </w:r>
      <w:r w:rsidR="0087123C" w:rsidRPr="0030135C">
        <w:t xml:space="preserve"> la relevancia de su c</w:t>
      </w:r>
      <w:r w:rsidR="00736DAC" w:rsidRPr="0030135C">
        <w:t>lientela: p</w:t>
      </w:r>
      <w:r w:rsidR="0087123C" w:rsidRPr="0030135C">
        <w:t>inturas</w:t>
      </w:r>
      <w:r w:rsidR="00F8165C" w:rsidRPr="0030135C">
        <w:t xml:space="preserve"> de i</w:t>
      </w:r>
      <w:r w:rsidR="000C287C" w:rsidRPr="0030135C">
        <w:t xml:space="preserve">mponente calidad </w:t>
      </w:r>
      <w:r w:rsidR="0087123C" w:rsidRPr="0030135C">
        <w:t>en las que inmortalizaron a</w:t>
      </w:r>
      <w:r w:rsidR="000C287C" w:rsidRPr="0030135C">
        <w:t xml:space="preserve"> </w:t>
      </w:r>
      <w:r w:rsidR="0087123C" w:rsidRPr="0030135C">
        <w:t xml:space="preserve">las más </w:t>
      </w:r>
      <w:r w:rsidR="000C287C" w:rsidRPr="0030135C">
        <w:t>importantes personalidades de su época</w:t>
      </w:r>
      <w:r w:rsidR="0087123C" w:rsidRPr="0030135C">
        <w:t xml:space="preserve"> a nivel internacional,</w:t>
      </w:r>
      <w:r w:rsidR="000C287C" w:rsidRPr="0030135C">
        <w:t xml:space="preserve"> </w:t>
      </w:r>
      <w:r w:rsidR="00736DAC" w:rsidRPr="0030135C">
        <w:t>no sólo en el ámbito político,</w:t>
      </w:r>
      <w:r w:rsidR="0087123C" w:rsidRPr="0030135C">
        <w:t xml:space="preserve"> también en el militar y en el intelectual</w:t>
      </w:r>
      <w:r w:rsidR="008535B3" w:rsidRPr="0030135C">
        <w:t>. D</w:t>
      </w:r>
      <w:r w:rsidR="000C287C" w:rsidRPr="0030135C">
        <w:t xml:space="preserve">ada la </w:t>
      </w:r>
      <w:r w:rsidR="001A37F0" w:rsidRPr="0030135C">
        <w:t>jerarquía</w:t>
      </w:r>
      <w:r w:rsidR="000C287C" w:rsidRPr="0030135C">
        <w:t xml:space="preserve"> de los personajes</w:t>
      </w:r>
      <w:r w:rsidR="008535B3" w:rsidRPr="0030135C">
        <w:t xml:space="preserve"> a los que </w:t>
      </w:r>
      <w:r w:rsidR="001A37F0" w:rsidRPr="0030135C">
        <w:t xml:space="preserve">ambos </w:t>
      </w:r>
      <w:r w:rsidR="00FB3F37" w:rsidRPr="0030135C">
        <w:t>retrataron</w:t>
      </w:r>
      <w:r w:rsidR="008535B3" w:rsidRPr="0030135C">
        <w:t>, la reputación de los Wautier en el género del retrato</w:t>
      </w:r>
      <w:r w:rsidR="00F8165C" w:rsidRPr="0030135C">
        <w:t xml:space="preserve"> debió ser grande</w:t>
      </w:r>
      <w:r w:rsidR="008535B3" w:rsidRPr="0030135C">
        <w:t xml:space="preserve"> en su época. </w:t>
      </w:r>
      <w:r w:rsidR="00E97715" w:rsidRPr="0030135C">
        <w:t>Tanto fue así</w:t>
      </w:r>
      <w:r w:rsidR="00BE471A" w:rsidRPr="0030135C">
        <w:t xml:space="preserve"> que</w:t>
      </w:r>
      <w:r w:rsidR="001A37F0" w:rsidRPr="0030135C">
        <w:t xml:space="preserve"> el pintor Florent de Rieu </w:t>
      </w:r>
      <w:r w:rsidR="00BE471A" w:rsidRPr="0030135C">
        <w:t>consagró</w:t>
      </w:r>
      <w:r w:rsidR="009E2E77" w:rsidRPr="0030135C">
        <w:t xml:space="preserve"> un </w:t>
      </w:r>
      <w:r w:rsidR="00F8165C" w:rsidRPr="0030135C">
        <w:t xml:space="preserve">elogioso </w:t>
      </w:r>
      <w:r w:rsidR="009E2E77" w:rsidRPr="0030135C">
        <w:t xml:space="preserve">poema </w:t>
      </w:r>
      <w:r w:rsidR="00BE471A" w:rsidRPr="0030135C">
        <w:t xml:space="preserve">a Charles </w:t>
      </w:r>
      <w:r w:rsidR="00791AC7" w:rsidRPr="0030135C">
        <w:t xml:space="preserve">en </w:t>
      </w:r>
      <w:r w:rsidR="00791AC7" w:rsidRPr="0030135C">
        <w:rPr>
          <w:i/>
        </w:rPr>
        <w:t>Les tableaux parlans du peintre Namurois</w:t>
      </w:r>
      <w:r w:rsidR="00791AC7" w:rsidRPr="0030135C">
        <w:t xml:space="preserve"> </w:t>
      </w:r>
      <w:r w:rsidR="00F8165C" w:rsidRPr="0030135C">
        <w:t>(</w:t>
      </w:r>
      <w:r w:rsidR="009E2E77" w:rsidRPr="0030135C">
        <w:t>1658</w:t>
      </w:r>
      <w:r w:rsidR="00791AC7" w:rsidRPr="0030135C">
        <w:t>)</w:t>
      </w:r>
      <w:r w:rsidR="008535B3" w:rsidRPr="0030135C">
        <w:t xml:space="preserve">. Dedicado </w:t>
      </w:r>
      <w:r w:rsidR="00791AC7" w:rsidRPr="0030135C">
        <w:t>“</w:t>
      </w:r>
      <w:r w:rsidR="001A37F0" w:rsidRPr="0030135C">
        <w:t>A Charles Wautier</w:t>
      </w:r>
      <w:r w:rsidR="00791AC7" w:rsidRPr="0030135C">
        <w:t>, pintor de retratos de l</w:t>
      </w:r>
      <w:r w:rsidR="008535B3" w:rsidRPr="0030135C">
        <w:t xml:space="preserve">a ciudad de Bruselas”, </w:t>
      </w:r>
      <w:r w:rsidR="000C287C" w:rsidRPr="0030135C">
        <w:t>dice:</w:t>
      </w:r>
      <w:r w:rsidR="00791AC7" w:rsidRPr="0030135C">
        <w:t xml:space="preserve"> “Wautier dans l’art de la Peinture / Fait beaucoup plus que la Nature, Puis que comparee à ses traits / elle prise pour ses Portraits”</w:t>
      </w:r>
      <w:r w:rsidR="007D2143" w:rsidRPr="0030135C">
        <w:rPr>
          <w:rStyle w:val="Marquenotebasdepage"/>
        </w:rPr>
        <w:footnoteReference w:id="3"/>
      </w:r>
      <w:r w:rsidR="00791AC7" w:rsidRPr="0030135C">
        <w:t xml:space="preserve">. </w:t>
      </w:r>
    </w:p>
    <w:p w14:paraId="67EA1A8D" w14:textId="2F401F2E" w:rsidR="005214FF" w:rsidRPr="0030135C" w:rsidRDefault="008535B3" w:rsidP="0030135C">
      <w:pPr>
        <w:spacing w:line="360" w:lineRule="auto"/>
        <w:jc w:val="both"/>
      </w:pPr>
      <w:r w:rsidRPr="0030135C">
        <w:t xml:space="preserve">Hoy trataremos de un </w:t>
      </w:r>
      <w:r w:rsidR="00DB7C53" w:rsidRPr="0030135C">
        <w:rPr>
          <w:i/>
        </w:rPr>
        <w:t>R</w:t>
      </w:r>
      <w:r w:rsidR="000C287C" w:rsidRPr="0030135C">
        <w:rPr>
          <w:i/>
        </w:rPr>
        <w:t xml:space="preserve">etrato </w:t>
      </w:r>
      <w:r w:rsidR="00DB7C53" w:rsidRPr="0030135C">
        <w:rPr>
          <w:i/>
        </w:rPr>
        <w:t>de caballero</w:t>
      </w:r>
      <w:r w:rsidR="00DB7C53" w:rsidRPr="0030135C">
        <w:t xml:space="preserve"> </w:t>
      </w:r>
      <w:r w:rsidR="000C287C" w:rsidRPr="0030135C">
        <w:t>que nos llega por consulta de un coleccionista bri</w:t>
      </w:r>
      <w:r w:rsidR="00FB3F37" w:rsidRPr="0030135C">
        <w:t>tánico, que lo tiene</w:t>
      </w:r>
      <w:r w:rsidRPr="0030135C">
        <w:t xml:space="preserve"> por obra del círculo de Diego Velázquez</w:t>
      </w:r>
      <w:r w:rsidR="000D3E8E" w:rsidRPr="0030135C">
        <w:t>, atribución con la que figuró en</w:t>
      </w:r>
      <w:r w:rsidR="0087123C" w:rsidRPr="0030135C">
        <w:t xml:space="preserve"> l</w:t>
      </w:r>
      <w:r w:rsidR="009B770B" w:rsidRPr="0030135C">
        <w:t xml:space="preserve">a </w:t>
      </w:r>
      <w:r w:rsidR="000F23C2" w:rsidRPr="0030135C">
        <w:t>Galería</w:t>
      </w:r>
      <w:r w:rsidR="009B770B" w:rsidRPr="0030135C">
        <w:t xml:space="preserve"> Sotheby’s en 2018</w:t>
      </w:r>
      <w:r w:rsidR="00901B3B" w:rsidRPr="0030135C">
        <w:rPr>
          <w:rStyle w:val="Marquenotebasdepage"/>
        </w:rPr>
        <w:footnoteReference w:id="4"/>
      </w:r>
      <w:r w:rsidR="000F23C2" w:rsidRPr="0030135C">
        <w:t xml:space="preserve"> </w:t>
      </w:r>
      <w:r w:rsidRPr="009D482C">
        <w:t>(fig. 1).</w:t>
      </w:r>
      <w:r w:rsidRPr="0030135C">
        <w:t xml:space="preserve"> </w:t>
      </w:r>
      <w:r w:rsidR="00B2084D">
        <w:t>Pudo llevar a confusión</w:t>
      </w:r>
      <w:r w:rsidR="0087123C" w:rsidRPr="0030135C">
        <w:t xml:space="preserve"> la fisonomía del retratado, un hombre de cabello negro y grandes ojos oscuros que tiene aspecto de español, así como la banda carmesí que lleva cruzada al pecho, signo reconocible de los </w:t>
      </w:r>
      <w:r w:rsidR="004323D2" w:rsidRPr="0030135C">
        <w:t>capitanes</w:t>
      </w:r>
      <w:r w:rsidR="0087123C" w:rsidRPr="0030135C">
        <w:t xml:space="preserve"> al servicio de Felipe IV. </w:t>
      </w:r>
      <w:r w:rsidR="00012259" w:rsidRPr="0030135C">
        <w:t xml:space="preserve">La obra </w:t>
      </w:r>
      <w:r w:rsidR="009B770B" w:rsidRPr="0030135C">
        <w:t>tiene algo de la imponente realidad que el genial pintor e</w:t>
      </w:r>
      <w:r w:rsidR="00DB7C53" w:rsidRPr="0030135C">
        <w:t>spañol supo imprimir en sus retratados</w:t>
      </w:r>
      <w:r w:rsidR="00012259" w:rsidRPr="0030135C">
        <w:t xml:space="preserve">, una característica común con los pintores flamencos que ha provocado confusiones en más de una </w:t>
      </w:r>
      <w:r w:rsidR="00012259" w:rsidRPr="00C541E7">
        <w:t>ocasión</w:t>
      </w:r>
      <w:r w:rsidR="00012259" w:rsidRPr="00C541E7">
        <w:rPr>
          <w:rStyle w:val="Marquenotebasdepage"/>
        </w:rPr>
        <w:footnoteReference w:id="5"/>
      </w:r>
      <w:r w:rsidR="009B770B" w:rsidRPr="00C541E7">
        <w:t>.</w:t>
      </w:r>
      <w:r w:rsidR="009B770B" w:rsidRPr="0030135C">
        <w:t xml:space="preserve"> </w:t>
      </w:r>
      <w:r w:rsidR="009A4CBD" w:rsidRPr="0030135C">
        <w:t>No obstante, el tipo de retrato</w:t>
      </w:r>
      <w:r w:rsidR="00C52867" w:rsidRPr="0030135C">
        <w:t>, de busto y con ostentación del bastón de mando, no es típico de Velázquez ni de los pintores de su c</w:t>
      </w:r>
      <w:r w:rsidR="009A4CBD" w:rsidRPr="0030135C">
        <w:t>írculo; y corresponde</w:t>
      </w:r>
      <w:r w:rsidR="00C52867" w:rsidRPr="0030135C">
        <w:t xml:space="preserve">, en cambio, a una </w:t>
      </w:r>
      <w:r w:rsidR="009A4CBD" w:rsidRPr="0030135C">
        <w:t>fórmula</w:t>
      </w:r>
      <w:r w:rsidR="00C52867" w:rsidRPr="0030135C">
        <w:t xml:space="preserve"> muy repetida en grabados flamencos. Tampoco vemos la atmósfera envolvente, la captación del aire intermedio entre el retratado y el espectador, ni los perfiles diluidos que caracterizan los retratos de Velázquez. </w:t>
      </w:r>
    </w:p>
    <w:p w14:paraId="38AA2027" w14:textId="55BAE176" w:rsidR="00854582" w:rsidRPr="0030135C" w:rsidRDefault="00DB7C53" w:rsidP="0030135C">
      <w:pPr>
        <w:spacing w:line="360" w:lineRule="auto"/>
        <w:jc w:val="both"/>
      </w:pPr>
      <w:r w:rsidRPr="0030135C">
        <w:t xml:space="preserve">Hay </w:t>
      </w:r>
      <w:r w:rsidR="009A4CBD" w:rsidRPr="0030135C">
        <w:t>aquí</w:t>
      </w:r>
      <w:r w:rsidRPr="0030135C">
        <w:t xml:space="preserve"> una plasmación </w:t>
      </w:r>
      <w:r w:rsidR="000F23C2" w:rsidRPr="0030135C">
        <w:t xml:space="preserve">de la materia </w:t>
      </w:r>
      <w:r w:rsidRPr="0030135C">
        <w:t>má</w:t>
      </w:r>
      <w:r w:rsidR="00C3751F" w:rsidRPr="0030135C">
        <w:t>s a</w:t>
      </w:r>
      <w:r w:rsidR="000F23C2" w:rsidRPr="0030135C">
        <w:t xml:space="preserve">ferrada a la tangible realidad </w:t>
      </w:r>
      <w:r w:rsidR="009A4CBD" w:rsidRPr="0030135C">
        <w:t xml:space="preserve">que es </w:t>
      </w:r>
      <w:r w:rsidR="00C3751F" w:rsidRPr="0030135C">
        <w:t>tí</w:t>
      </w:r>
      <w:r w:rsidR="00126CDB" w:rsidRPr="0030135C">
        <w:t>pica de los maestros del Norte</w:t>
      </w:r>
      <w:r w:rsidR="00C52867" w:rsidRPr="0030135C">
        <w:t>, una precisión en los perfiles y en l</w:t>
      </w:r>
      <w:r w:rsidR="009A4CBD" w:rsidRPr="0030135C">
        <w:t>os encajes de la gorguera que se</w:t>
      </w:r>
      <w:r w:rsidR="00C52867" w:rsidRPr="0030135C">
        <w:t xml:space="preserve"> distancian de lo español. </w:t>
      </w:r>
      <w:r w:rsidR="00C3751F" w:rsidRPr="0030135C">
        <w:t xml:space="preserve">Nosotros distinguimos de inmediato </w:t>
      </w:r>
      <w:r w:rsidR="008535B3" w:rsidRPr="0030135C">
        <w:t>el estilo de los Wautier</w:t>
      </w:r>
      <w:r w:rsidR="00854582" w:rsidRPr="0030135C">
        <w:t xml:space="preserve"> y exp</w:t>
      </w:r>
      <w:r w:rsidR="00C52867" w:rsidRPr="0030135C">
        <w:t>ondremos</w:t>
      </w:r>
      <w:r w:rsidR="00854582" w:rsidRPr="0030135C">
        <w:t xml:space="preserve"> porqué; pero adelantamos ya que hemos encontrado prueba de esta autoría al inspecc</w:t>
      </w:r>
      <w:r w:rsidR="00042A8F" w:rsidRPr="0030135C">
        <w:t xml:space="preserve">ionar el lienzo en la realidad, pues </w:t>
      </w:r>
      <w:r w:rsidR="003A3EF7" w:rsidRPr="0030135C">
        <w:t>en la</w:t>
      </w:r>
      <w:r w:rsidR="008535B3" w:rsidRPr="0030135C">
        <w:t xml:space="preserve"> parte superior izquier</w:t>
      </w:r>
      <w:r w:rsidR="00854582" w:rsidRPr="0030135C">
        <w:t xml:space="preserve">da </w:t>
      </w:r>
      <w:r w:rsidR="003A3EF7" w:rsidRPr="0030135C">
        <w:t>quedan</w:t>
      </w:r>
      <w:r w:rsidR="00854582" w:rsidRPr="0030135C">
        <w:t xml:space="preserve"> </w:t>
      </w:r>
      <w:r w:rsidR="008535B3" w:rsidRPr="0030135C">
        <w:t>restos de una firma que ha sido rascada</w:t>
      </w:r>
      <w:r w:rsidR="00854582" w:rsidRPr="0030135C">
        <w:t>,</w:t>
      </w:r>
      <w:r w:rsidR="008535B3" w:rsidRPr="0030135C">
        <w:t xml:space="preserve"> donde se disciernen aún las letras:</w:t>
      </w:r>
      <w:r w:rsidR="00367C0C" w:rsidRPr="0030135C">
        <w:t xml:space="preserve"> “Wa</w:t>
      </w:r>
      <w:r w:rsidR="000C287C" w:rsidRPr="0030135C">
        <w:t>…</w:t>
      </w:r>
      <w:r w:rsidR="004F61AF" w:rsidRPr="0030135C">
        <w:t>”</w:t>
      </w:r>
      <w:r w:rsidR="00901B3B" w:rsidRPr="0030135C">
        <w:t xml:space="preserve"> </w:t>
      </w:r>
      <w:r w:rsidR="00901B3B" w:rsidRPr="009D482C">
        <w:t>(fig. 2</w:t>
      </w:r>
      <w:r w:rsidR="00FF674D" w:rsidRPr="009D482C">
        <w:t>)</w:t>
      </w:r>
      <w:r w:rsidR="00D74637" w:rsidRPr="009D482C">
        <w:t>.</w:t>
      </w:r>
      <w:r w:rsidR="00D74637" w:rsidRPr="0030135C">
        <w:t xml:space="preserve"> </w:t>
      </w:r>
      <w:r w:rsidR="007C6064" w:rsidRPr="0030135C">
        <w:t xml:space="preserve">El rascado de las firmas ha sido un fenómeno desafortunadamente frecuente. </w:t>
      </w:r>
      <w:r w:rsidR="00372083" w:rsidRPr="0030135C">
        <w:t>Con fines especulativos</w:t>
      </w:r>
      <w:r w:rsidR="00042A8F" w:rsidRPr="0030135C">
        <w:t xml:space="preserve"> </w:t>
      </w:r>
      <w:r w:rsidR="007C6064" w:rsidRPr="0030135C">
        <w:t>se pedía</w:t>
      </w:r>
      <w:r w:rsidR="00042A8F" w:rsidRPr="0030135C">
        <w:t xml:space="preserve"> a los restauradores borrar </w:t>
      </w:r>
      <w:r w:rsidR="007C6064" w:rsidRPr="0030135C">
        <w:t>firmas de pintores que no eran célebres</w:t>
      </w:r>
      <w:r w:rsidR="00042A8F" w:rsidRPr="0030135C">
        <w:t xml:space="preserve">, con idea de hacerlos pasar </w:t>
      </w:r>
      <w:r w:rsidR="00372083" w:rsidRPr="0030135C">
        <w:t>por otros de mayor fama</w:t>
      </w:r>
      <w:r w:rsidR="00042A8F" w:rsidRPr="0030135C">
        <w:t xml:space="preserve">. </w:t>
      </w:r>
      <w:r w:rsidR="007C6064" w:rsidRPr="0030135C">
        <w:t xml:space="preserve">Es lo que </w:t>
      </w:r>
      <w:r w:rsidR="00372083" w:rsidRPr="0030135C">
        <w:t xml:space="preserve">con toda probabilidad </w:t>
      </w:r>
      <w:r w:rsidR="007C6064" w:rsidRPr="0030135C">
        <w:t>ha suced</w:t>
      </w:r>
      <w:r w:rsidR="00372083" w:rsidRPr="0030135C">
        <w:t>ido con la firma de este retrato en el pasado</w:t>
      </w:r>
      <w:r w:rsidR="004F61AF" w:rsidRPr="0030135C">
        <w:rPr>
          <w:rStyle w:val="Marquenotebasdepage"/>
        </w:rPr>
        <w:footnoteReference w:id="6"/>
      </w:r>
      <w:r w:rsidR="00372083" w:rsidRPr="0030135C">
        <w:t>, cuando</w:t>
      </w:r>
      <w:r w:rsidR="009D482C">
        <w:t xml:space="preserve"> el nombre de Wautier no sonaba</w:t>
      </w:r>
      <w:r w:rsidR="00372083" w:rsidRPr="0030135C">
        <w:t xml:space="preserve"> conocido</w:t>
      </w:r>
      <w:r w:rsidR="007C6064" w:rsidRPr="0030135C">
        <w:t xml:space="preserve">. </w:t>
      </w:r>
      <w:r w:rsidR="00D74637" w:rsidRPr="0030135C">
        <w:t xml:space="preserve">Al </w:t>
      </w:r>
      <w:r w:rsidR="00854582" w:rsidRPr="0030135C">
        <w:t xml:space="preserve">margen de esto, </w:t>
      </w:r>
      <w:r w:rsidR="00D74637" w:rsidRPr="0030135C">
        <w:t xml:space="preserve">el estilo de los Wautier </w:t>
      </w:r>
      <w:r w:rsidR="000C287C" w:rsidRPr="0030135C">
        <w:t>s</w:t>
      </w:r>
      <w:r w:rsidR="00641F8B" w:rsidRPr="0030135C">
        <w:t>e reconoce con facilidad. Y decimos</w:t>
      </w:r>
      <w:r w:rsidR="000C287C" w:rsidRPr="0030135C">
        <w:t xml:space="preserve"> los Wautier porque </w:t>
      </w:r>
      <w:r w:rsidR="001A37F0" w:rsidRPr="0030135C">
        <w:t>cabe siempre</w:t>
      </w:r>
      <w:r w:rsidR="00854582" w:rsidRPr="0030135C">
        <w:t xml:space="preserve"> </w:t>
      </w:r>
      <w:r w:rsidR="002B424F" w:rsidRPr="0030135C">
        <w:t>la</w:t>
      </w:r>
      <w:r w:rsidR="001A37F0" w:rsidRPr="0030135C">
        <w:t xml:space="preserve"> duda de si</w:t>
      </w:r>
      <w:r w:rsidR="00854582" w:rsidRPr="0030135C">
        <w:t xml:space="preserve"> sería obra de Charles o de </w:t>
      </w:r>
      <w:r w:rsidR="000C287C" w:rsidRPr="0030135C">
        <w:t>s</w:t>
      </w:r>
      <w:r w:rsidR="00854582" w:rsidRPr="0030135C">
        <w:t>u hermana Michaelina</w:t>
      </w:r>
      <w:r w:rsidR="000C287C" w:rsidRPr="0030135C">
        <w:t xml:space="preserve">. </w:t>
      </w:r>
      <w:r w:rsidR="00854582" w:rsidRPr="0030135C">
        <w:t>Por las características del retrato y su cotejo c</w:t>
      </w:r>
      <w:r w:rsidR="00367C0C" w:rsidRPr="0030135C">
        <w:t>on obras firmadas por ella</w:t>
      </w:r>
      <w:r w:rsidR="00854582" w:rsidRPr="0030135C">
        <w:t xml:space="preserve">, </w:t>
      </w:r>
      <w:r w:rsidR="0007778A" w:rsidRPr="0030135C">
        <w:t>cabrí</w:t>
      </w:r>
      <w:r w:rsidR="00575E96" w:rsidRPr="0030135C">
        <w:t>a pensar que fuera</w:t>
      </w:r>
      <w:r w:rsidR="00367C0C" w:rsidRPr="0030135C">
        <w:t xml:space="preserve"> de su mano. La </w:t>
      </w:r>
      <w:r w:rsidR="00CA391F">
        <w:t>ubicación</w:t>
      </w:r>
      <w:r w:rsidR="00367C0C" w:rsidRPr="0030135C">
        <w:t xml:space="preserve"> de l</w:t>
      </w:r>
      <w:r w:rsidR="001A37F0" w:rsidRPr="0030135C">
        <w:t>a firma arriba a la derecha y la</w:t>
      </w:r>
      <w:r w:rsidR="00367C0C" w:rsidRPr="0030135C">
        <w:t xml:space="preserve"> </w:t>
      </w:r>
      <w:r w:rsidR="00431238" w:rsidRPr="0030135C">
        <w:t xml:space="preserve">larga </w:t>
      </w:r>
      <w:r w:rsidR="00367C0C" w:rsidRPr="0030135C">
        <w:t>extensión</w:t>
      </w:r>
      <w:r w:rsidR="001A37F0" w:rsidRPr="0030135C">
        <w:t xml:space="preserve"> de la zona rascada</w:t>
      </w:r>
      <w:r w:rsidR="00367C0C" w:rsidRPr="0030135C">
        <w:t xml:space="preserve"> apuntan también a esta hipótesis, pues Michaelina -a juzgar por las firmas conocidas- suele firmar en minúsculas y con el nombre completo, a diferencia de su hermano, que suele firmar con la inicial “C”, seguida del </w:t>
      </w:r>
      <w:r w:rsidR="004F61AF" w:rsidRPr="0030135C">
        <w:t>apellido</w:t>
      </w:r>
      <w:r w:rsidR="00367C0C" w:rsidRPr="0030135C">
        <w:t xml:space="preserve"> </w:t>
      </w:r>
      <w:r w:rsidR="00F96094" w:rsidRPr="0030135C">
        <w:t>“</w:t>
      </w:r>
      <w:r w:rsidR="00367C0C" w:rsidRPr="0030135C">
        <w:t>WAUTIER</w:t>
      </w:r>
      <w:r w:rsidR="00F96094" w:rsidRPr="0030135C">
        <w:t>”</w:t>
      </w:r>
      <w:r w:rsidR="00367C0C" w:rsidRPr="0030135C">
        <w:t xml:space="preserve">, en mayúsculas. </w:t>
      </w:r>
      <w:r w:rsidR="004F61AF" w:rsidRPr="0030135C">
        <w:t xml:space="preserve">No obstante, </w:t>
      </w:r>
      <w:r w:rsidR="002B424F" w:rsidRPr="0030135C">
        <w:t xml:space="preserve">existe </w:t>
      </w:r>
      <w:r w:rsidR="00367C0C" w:rsidRPr="0030135C">
        <w:t xml:space="preserve">también </w:t>
      </w:r>
      <w:r w:rsidR="002B424F" w:rsidRPr="0030135C">
        <w:t>la sospecha de que algunas o</w:t>
      </w:r>
      <w:r w:rsidR="007A0819">
        <w:t>bras firmadas por Charles pudieran ser</w:t>
      </w:r>
      <w:r w:rsidR="002B424F" w:rsidRPr="0030135C">
        <w:t xml:space="preserve"> de la mano de su hermana</w:t>
      </w:r>
      <w:r w:rsidR="001A37F0" w:rsidRPr="0030135C">
        <w:rPr>
          <w:rStyle w:val="Marquenotebasdepage"/>
        </w:rPr>
        <w:footnoteReference w:id="7"/>
      </w:r>
      <w:r w:rsidR="002B424F" w:rsidRPr="0030135C">
        <w:t xml:space="preserve">. </w:t>
      </w:r>
      <w:r w:rsidR="00736DAC" w:rsidRPr="0030135C">
        <w:t>Ante estas circunstancias</w:t>
      </w:r>
      <w:r w:rsidR="00367C0C" w:rsidRPr="0030135C">
        <w:t xml:space="preserve">, y dada la similitud </w:t>
      </w:r>
      <w:r w:rsidR="007C7F1F" w:rsidRPr="0030135C">
        <w:t xml:space="preserve">de sus estilos, </w:t>
      </w:r>
      <w:r w:rsidR="004250E7" w:rsidRPr="0030135C">
        <w:t>pensamos que, en vez de tratar de desli</w:t>
      </w:r>
      <w:r w:rsidR="00F96094" w:rsidRPr="0030135C">
        <w:t xml:space="preserve">ndar al uno del otro, </w:t>
      </w:r>
      <w:r w:rsidR="002E66FD" w:rsidRPr="0030135C">
        <w:t>cabría má</w:t>
      </w:r>
      <w:r w:rsidR="004250E7" w:rsidRPr="0030135C">
        <w:t xml:space="preserve">s bien hablar de los Wautier. </w:t>
      </w:r>
    </w:p>
    <w:p w14:paraId="792858B9" w14:textId="23BD08A3" w:rsidR="00730B8E" w:rsidRPr="0030135C" w:rsidRDefault="000C287C" w:rsidP="0030135C">
      <w:pPr>
        <w:spacing w:line="360" w:lineRule="auto"/>
        <w:jc w:val="both"/>
      </w:pPr>
      <w:r w:rsidRPr="0030135C">
        <w:t xml:space="preserve">El </w:t>
      </w:r>
      <w:r w:rsidR="00DB7C53" w:rsidRPr="0030135C">
        <w:t xml:space="preserve">desconocido caballero es </w:t>
      </w:r>
      <w:r w:rsidRPr="0030135C">
        <w:t>un hombre joven</w:t>
      </w:r>
      <w:r w:rsidR="00DB7C53" w:rsidRPr="0030135C">
        <w:t>, representado</w:t>
      </w:r>
      <w:r w:rsidRPr="0030135C">
        <w:t xml:space="preserve"> </w:t>
      </w:r>
      <w:r w:rsidR="008F5FD8" w:rsidRPr="0030135C">
        <w:t xml:space="preserve">de medio cuerpo, </w:t>
      </w:r>
      <w:r w:rsidR="00FF674D" w:rsidRPr="0030135C">
        <w:t xml:space="preserve">con </w:t>
      </w:r>
      <w:r w:rsidR="00730B8E" w:rsidRPr="0030135C">
        <w:t xml:space="preserve">cabello largo, sombrero y gran </w:t>
      </w:r>
      <w:r w:rsidR="0095704A" w:rsidRPr="0030135C">
        <w:t>bigote imperial</w:t>
      </w:r>
      <w:r w:rsidR="00DB7C53" w:rsidRPr="0030135C">
        <w:t>. Viste</w:t>
      </w:r>
      <w:r w:rsidR="00290D31" w:rsidRPr="0030135C">
        <w:t xml:space="preserve"> armadura, </w:t>
      </w:r>
      <w:r w:rsidR="00730B8E" w:rsidRPr="0030135C">
        <w:t xml:space="preserve">cuello de encaje de valona caída, </w:t>
      </w:r>
      <w:r w:rsidR="00290D31" w:rsidRPr="0030135C">
        <w:t xml:space="preserve">cruzada al </w:t>
      </w:r>
      <w:r w:rsidRPr="0030135C">
        <w:t>pecho la banda car</w:t>
      </w:r>
      <w:r w:rsidR="00290D31" w:rsidRPr="0030135C">
        <w:t>mesí distintiva de los militares</w:t>
      </w:r>
      <w:r w:rsidR="00730B8E" w:rsidRPr="0030135C">
        <w:t xml:space="preserve"> al servicio del rey de España, </w:t>
      </w:r>
      <w:r w:rsidR="00FB3F37" w:rsidRPr="0030135C">
        <w:t xml:space="preserve">y </w:t>
      </w:r>
      <w:r w:rsidR="00DB7C53" w:rsidRPr="0030135C">
        <w:t xml:space="preserve">lleva </w:t>
      </w:r>
      <w:r w:rsidR="00FB3F37" w:rsidRPr="0030135C">
        <w:t>en la mano derecha</w:t>
      </w:r>
      <w:r w:rsidR="00730B8E" w:rsidRPr="0030135C">
        <w:t xml:space="preserve"> el ba</w:t>
      </w:r>
      <w:r w:rsidR="00FB3F37" w:rsidRPr="0030135C">
        <w:t>stón de mando</w:t>
      </w:r>
      <w:r w:rsidR="00730B8E" w:rsidRPr="0030135C">
        <w:t>. Por el estilo y la composición</w:t>
      </w:r>
      <w:r w:rsidR="0014788B" w:rsidRPr="0030135C">
        <w:t xml:space="preserve"> recuerda </w:t>
      </w:r>
      <w:r w:rsidR="00E97715" w:rsidRPr="0030135C">
        <w:t>al</w:t>
      </w:r>
      <w:r w:rsidR="00730B8E" w:rsidRPr="0030135C">
        <w:t xml:space="preserve"> </w:t>
      </w:r>
      <w:r w:rsidR="00730B8E" w:rsidRPr="0030135C">
        <w:rPr>
          <w:i/>
        </w:rPr>
        <w:t>Retrato de caballero</w:t>
      </w:r>
      <w:r w:rsidR="00C541E7">
        <w:t xml:space="preserve"> del museo de Bruselas identificado</w:t>
      </w:r>
      <w:r w:rsidR="00730B8E" w:rsidRPr="0030135C">
        <w:t xml:space="preserve"> </w:t>
      </w:r>
      <w:r w:rsidR="00431238" w:rsidRPr="0030135C">
        <w:t>en 2018</w:t>
      </w:r>
      <w:r w:rsidR="00CA391F">
        <w:t xml:space="preserve"> </w:t>
      </w:r>
      <w:r w:rsidR="00730B8E" w:rsidRPr="0030135C">
        <w:t xml:space="preserve">con </w:t>
      </w:r>
      <w:r w:rsidR="00730B8E" w:rsidRPr="0030135C">
        <w:rPr>
          <w:i/>
        </w:rPr>
        <w:t>Don Antonio Pimentel de Prado</w:t>
      </w:r>
      <w:r w:rsidR="00984421" w:rsidRPr="0030135C">
        <w:rPr>
          <w:rStyle w:val="Marquenotebasdepage"/>
          <w:i/>
        </w:rPr>
        <w:footnoteReference w:id="8"/>
      </w:r>
      <w:r w:rsidR="002E66FD" w:rsidRPr="0030135C">
        <w:t xml:space="preserve"> </w:t>
      </w:r>
      <w:r w:rsidR="002E66FD" w:rsidRPr="00CA391F">
        <w:t>(fig. 3</w:t>
      </w:r>
      <w:r w:rsidR="003A3EF7" w:rsidRPr="00CA391F">
        <w:t>)</w:t>
      </w:r>
      <w:r w:rsidR="00730B8E" w:rsidRPr="00CA391F">
        <w:t>,</w:t>
      </w:r>
      <w:r w:rsidR="00730B8E" w:rsidRPr="0030135C">
        <w:t xml:space="preserve"> </w:t>
      </w:r>
      <w:r w:rsidR="00AE1C71" w:rsidRPr="0030135C">
        <w:t>pintura firmada y fechada</w:t>
      </w:r>
      <w:r w:rsidR="00E20D35" w:rsidRPr="0030135C">
        <w:t> : “Michaelina Wautier. 1646”</w:t>
      </w:r>
      <w:r w:rsidR="00E20D35" w:rsidRPr="0030135C">
        <w:rPr>
          <w:rStyle w:val="Marquenotebasdepage"/>
        </w:rPr>
        <w:footnoteReference w:id="9"/>
      </w:r>
      <w:r w:rsidR="00AD56F4" w:rsidRPr="0030135C">
        <w:t xml:space="preserve">, </w:t>
      </w:r>
      <w:r w:rsidR="00431238" w:rsidRPr="0030135C">
        <w:t xml:space="preserve">lo que </w:t>
      </w:r>
      <w:r w:rsidR="00E20D35" w:rsidRPr="0030135C">
        <w:t xml:space="preserve">demuestra </w:t>
      </w:r>
      <w:r w:rsidR="00F96094" w:rsidRPr="0030135C">
        <w:t xml:space="preserve">–junto con el </w:t>
      </w:r>
      <w:r w:rsidR="00F96094" w:rsidRPr="0030135C">
        <w:rPr>
          <w:i/>
        </w:rPr>
        <w:t>Retrato de Andrea Cantelmo</w:t>
      </w:r>
      <w:r w:rsidR="00F96094" w:rsidRPr="0030135C">
        <w:t xml:space="preserve"> </w:t>
      </w:r>
      <w:r w:rsidR="00FF69FB" w:rsidRPr="00FA3082">
        <w:t>grabado en 1643</w:t>
      </w:r>
      <w:r w:rsidR="00A1339D" w:rsidRPr="00FA3082">
        <w:rPr>
          <w:rStyle w:val="Marquenotebasdepage"/>
        </w:rPr>
        <w:footnoteReference w:id="10"/>
      </w:r>
      <w:r w:rsidR="00FF69FB" w:rsidRPr="0030135C">
        <w:t xml:space="preserve"> </w:t>
      </w:r>
      <w:r w:rsidR="00F01688" w:rsidRPr="00CA391F">
        <w:t>(</w:t>
      </w:r>
      <w:r w:rsidR="002A6FF5" w:rsidRPr="00CA391F">
        <w:t>fig. 10</w:t>
      </w:r>
      <w:r w:rsidR="00F96094" w:rsidRPr="00CA391F">
        <w:t>)-</w:t>
      </w:r>
      <w:r w:rsidR="00F96094" w:rsidRPr="0030135C">
        <w:t xml:space="preserve"> </w:t>
      </w:r>
      <w:r w:rsidR="00E20D35" w:rsidRPr="0030135C">
        <w:t>que desde f</w:t>
      </w:r>
      <w:r w:rsidR="004F61AF" w:rsidRPr="0030135C">
        <w:t>echas tempranas Michaelina está</w:t>
      </w:r>
      <w:r w:rsidR="00E20D35" w:rsidRPr="0030135C">
        <w:t xml:space="preserve"> en contacto con la élite militar. </w:t>
      </w:r>
      <w:r w:rsidR="003A0156" w:rsidRPr="0030135C">
        <w:t xml:space="preserve">Son claras las </w:t>
      </w:r>
      <w:r w:rsidR="0014788B" w:rsidRPr="0030135C">
        <w:t>analogías</w:t>
      </w:r>
      <w:r w:rsidR="003A0156" w:rsidRPr="0030135C">
        <w:t xml:space="preserve"> en términos </w:t>
      </w:r>
      <w:r w:rsidR="00D176B3" w:rsidRPr="0030135C">
        <w:t xml:space="preserve">formales, </w:t>
      </w:r>
      <w:r w:rsidR="003A0156" w:rsidRPr="0030135C">
        <w:t xml:space="preserve">de encuadre, colorido </w:t>
      </w:r>
      <w:r w:rsidR="00730B8E" w:rsidRPr="0030135C">
        <w:t xml:space="preserve">y estilo. </w:t>
      </w:r>
      <w:r w:rsidR="000162F7" w:rsidRPr="0030135C">
        <w:t>El lienzo</w:t>
      </w:r>
      <w:r w:rsidR="00B62683" w:rsidRPr="0030135C">
        <w:t xml:space="preserve"> que nos ocupa tiene</w:t>
      </w:r>
      <w:r w:rsidR="000162F7" w:rsidRPr="0030135C">
        <w:t xml:space="preserve"> la misma anchura, y unos cinco </w:t>
      </w:r>
      <w:r w:rsidR="00256942" w:rsidRPr="0030135C">
        <w:t>centímetros</w:t>
      </w:r>
      <w:r w:rsidR="000162F7" w:rsidRPr="0030135C">
        <w:t xml:space="preserve"> más de alto. Ambas figuras se insertan de </w:t>
      </w:r>
      <w:r w:rsidR="00256942" w:rsidRPr="0030135C">
        <w:t>idéntica</w:t>
      </w:r>
      <w:r w:rsidR="000162F7" w:rsidRPr="0030135C">
        <w:t xml:space="preserve"> manera en el </w:t>
      </w:r>
      <w:r w:rsidR="00FF69FB" w:rsidRPr="0030135C">
        <w:t xml:space="preserve">mismo </w:t>
      </w:r>
      <w:r w:rsidR="000162F7" w:rsidRPr="0030135C">
        <w:t>espacio ci</w:t>
      </w:r>
      <w:r w:rsidR="000F23C2" w:rsidRPr="0030135C">
        <w:t xml:space="preserve">rcundante, sobre un fondo pardo </w:t>
      </w:r>
      <w:r w:rsidR="000162F7" w:rsidRPr="0030135C">
        <w:t>oscuro</w:t>
      </w:r>
      <w:r w:rsidR="009B1C4B" w:rsidRPr="0030135C">
        <w:t>, como en todos sus retratos conocidos</w:t>
      </w:r>
      <w:r w:rsidR="000162F7" w:rsidRPr="0030135C">
        <w:t>. Especialmente</w:t>
      </w:r>
      <w:r w:rsidR="003A0156" w:rsidRPr="0030135C">
        <w:t xml:space="preserve"> comparable</w:t>
      </w:r>
      <w:r w:rsidR="00FB3F37" w:rsidRPr="0030135C">
        <w:t xml:space="preserve"> es el tratamiento de los cabellos, la </w:t>
      </w:r>
      <w:r w:rsidR="0014788B" w:rsidRPr="0030135C">
        <w:t>construcción</w:t>
      </w:r>
      <w:r w:rsidR="00FB3F37" w:rsidRPr="0030135C">
        <w:t xml:space="preserve"> del </w:t>
      </w:r>
      <w:r w:rsidR="00D176B3" w:rsidRPr="0030135C">
        <w:t xml:space="preserve">rostro y el diseño de los ojos, con una acuosidad muy </w:t>
      </w:r>
      <w:r w:rsidR="00256942" w:rsidRPr="0030135C">
        <w:t>característica</w:t>
      </w:r>
      <w:r w:rsidR="00FB3F37" w:rsidRPr="0030135C">
        <w:t xml:space="preserve"> </w:t>
      </w:r>
      <w:r w:rsidR="00D176B3" w:rsidRPr="0030135C">
        <w:t xml:space="preserve">que confiere una emotiva profundidad a la mirada, </w:t>
      </w:r>
      <w:r w:rsidR="00FB3F37" w:rsidRPr="0030135C">
        <w:t>evita</w:t>
      </w:r>
      <w:r w:rsidR="00D176B3" w:rsidRPr="0030135C">
        <w:t>ndo</w:t>
      </w:r>
      <w:r w:rsidR="00FB3F37" w:rsidRPr="0030135C">
        <w:t xml:space="preserve"> la </w:t>
      </w:r>
      <w:r w:rsidR="0014788B" w:rsidRPr="0030135C">
        <w:t>dirección</w:t>
      </w:r>
      <w:r w:rsidR="00FB3F37" w:rsidRPr="0030135C">
        <w:t xml:space="preserve"> frontal, como es el caso también en el </w:t>
      </w:r>
      <w:r w:rsidR="00FB3F37" w:rsidRPr="0030135C">
        <w:rPr>
          <w:i/>
        </w:rPr>
        <w:t>Retrato de Martino Martini</w:t>
      </w:r>
      <w:r w:rsidR="008B330E" w:rsidRPr="0030135C">
        <w:rPr>
          <w:i/>
        </w:rPr>
        <w:t xml:space="preserve"> </w:t>
      </w:r>
      <w:r w:rsidR="008B330E" w:rsidRPr="0030135C">
        <w:t>(1654)</w:t>
      </w:r>
      <w:r w:rsidR="00AD56F4" w:rsidRPr="0030135C">
        <w:rPr>
          <w:rStyle w:val="Marquenotebasdepage"/>
          <w:i/>
        </w:rPr>
        <w:footnoteReference w:id="11"/>
      </w:r>
      <w:r w:rsidR="00AD56F4" w:rsidRPr="0030135C">
        <w:t xml:space="preserve"> </w:t>
      </w:r>
      <w:r w:rsidR="000162F7" w:rsidRPr="0030135C">
        <w:t xml:space="preserve">y en </w:t>
      </w:r>
      <w:r w:rsidR="003A0156" w:rsidRPr="0030135C">
        <w:t xml:space="preserve">el de </w:t>
      </w:r>
      <w:r w:rsidR="003A0156" w:rsidRPr="0030135C">
        <w:rPr>
          <w:i/>
        </w:rPr>
        <w:t>Pierre Wautier</w:t>
      </w:r>
      <w:r w:rsidR="00AE1C71" w:rsidRPr="0030135C">
        <w:rPr>
          <w:rStyle w:val="Marquenotebasdepage"/>
          <w:i/>
        </w:rPr>
        <w:footnoteReference w:id="12"/>
      </w:r>
      <w:r w:rsidR="00431238" w:rsidRPr="0030135C">
        <w:t xml:space="preserve"> </w:t>
      </w:r>
      <w:r w:rsidR="00431238" w:rsidRPr="00CA391F">
        <w:t>(</w:t>
      </w:r>
      <w:r w:rsidR="00954D9B" w:rsidRPr="00CA391F">
        <w:t>fig. 5</w:t>
      </w:r>
      <w:r w:rsidR="00DB7C53" w:rsidRPr="00CA391F">
        <w:t>)</w:t>
      </w:r>
      <w:r w:rsidR="003A0156" w:rsidRPr="00CA391F">
        <w:t>.</w:t>
      </w:r>
      <w:r w:rsidR="003A0156" w:rsidRPr="0030135C">
        <w:t xml:space="preserve"> </w:t>
      </w:r>
      <w:r w:rsidR="0014788B" w:rsidRPr="0030135C">
        <w:t xml:space="preserve">De corte ovalado, ambos rostros comparten </w:t>
      </w:r>
      <w:r w:rsidR="000F23C2" w:rsidRPr="0030135C">
        <w:t xml:space="preserve">la plasticidad de </w:t>
      </w:r>
      <w:r w:rsidR="0014788B" w:rsidRPr="0030135C">
        <w:t>las carnaciones,</w:t>
      </w:r>
      <w:r w:rsidR="002E508F" w:rsidRPr="0030135C">
        <w:t xml:space="preserve"> de una tonalidad cálida con re</w:t>
      </w:r>
      <w:r w:rsidR="0014788B" w:rsidRPr="0030135C">
        <w:t>a</w:t>
      </w:r>
      <w:r w:rsidR="002E508F" w:rsidRPr="0030135C">
        <w:t>l</w:t>
      </w:r>
      <w:r w:rsidR="0014788B" w:rsidRPr="0030135C">
        <w:t>ces sonrosados en las mejillas, y el mismo diseño de la barbilla, redonda</w:t>
      </w:r>
      <w:r w:rsidR="00AE1C71" w:rsidRPr="0030135C">
        <w:t xml:space="preserve">, así como la </w:t>
      </w:r>
      <w:r w:rsidR="004250E7" w:rsidRPr="0030135C">
        <w:t xml:space="preserve">misma </w:t>
      </w:r>
      <w:r w:rsidR="00AE1C71" w:rsidRPr="0030135C">
        <w:t>atención prestada al diseño de las cejas</w:t>
      </w:r>
      <w:r w:rsidR="0014788B" w:rsidRPr="0030135C">
        <w:t xml:space="preserve">. </w:t>
      </w:r>
      <w:r w:rsidR="00D176B3" w:rsidRPr="0030135C">
        <w:t xml:space="preserve">Comparable </w:t>
      </w:r>
      <w:r w:rsidR="00FD7D62" w:rsidRPr="0030135C">
        <w:t xml:space="preserve">es </w:t>
      </w:r>
      <w:r w:rsidR="0014788B" w:rsidRPr="0030135C">
        <w:t>también la valona</w:t>
      </w:r>
      <w:r w:rsidR="00FD7D62" w:rsidRPr="0030135C">
        <w:t xml:space="preserve"> de encaje que, aunque de diferente </w:t>
      </w:r>
      <w:r w:rsidR="002E508F" w:rsidRPr="0030135C">
        <w:t>di</w:t>
      </w:r>
      <w:r w:rsidR="00854582" w:rsidRPr="0030135C">
        <w:t>s</w:t>
      </w:r>
      <w:r w:rsidR="002E508F" w:rsidRPr="0030135C">
        <w:t>eño</w:t>
      </w:r>
      <w:r w:rsidR="0014788B" w:rsidRPr="0030135C">
        <w:t>, tiene el mismo sostén</w:t>
      </w:r>
      <w:r w:rsidR="00FD7D62" w:rsidRPr="0030135C">
        <w:t xml:space="preserve"> y </w:t>
      </w:r>
      <w:r w:rsidR="00256942" w:rsidRPr="0030135C">
        <w:t>relación</w:t>
      </w:r>
      <w:r w:rsidR="0014788B" w:rsidRPr="0030135C">
        <w:t xml:space="preserve"> con el cuello, que proyecta su sombra </w:t>
      </w:r>
      <w:r w:rsidR="00FD7D62" w:rsidRPr="0030135C">
        <w:t xml:space="preserve">sobre él, con la </w:t>
      </w:r>
      <w:r w:rsidR="00256942" w:rsidRPr="0030135C">
        <w:t>irrupción</w:t>
      </w:r>
      <w:r w:rsidR="00FD7D62" w:rsidRPr="0030135C">
        <w:t xml:space="preserve"> de algunos rizos de la abundante cabe</w:t>
      </w:r>
      <w:r w:rsidR="0014788B" w:rsidRPr="0030135C">
        <w:t>llera. D</w:t>
      </w:r>
      <w:r w:rsidR="00FD7D62" w:rsidRPr="0030135C">
        <w:t xml:space="preserve">estaca el color rosado de la banda, la misma tinta utilizada en los retratos de </w:t>
      </w:r>
      <w:r w:rsidR="004F61AF" w:rsidRPr="0030135C">
        <w:rPr>
          <w:i/>
        </w:rPr>
        <w:t>Ant</w:t>
      </w:r>
      <w:r w:rsidR="00641F8B" w:rsidRPr="0030135C">
        <w:rPr>
          <w:i/>
        </w:rPr>
        <w:t xml:space="preserve">onio Pimentel de Prado </w:t>
      </w:r>
      <w:r w:rsidR="00641F8B" w:rsidRPr="00CA391F">
        <w:t>(fig. 3)</w:t>
      </w:r>
      <w:r w:rsidR="00FD7D62" w:rsidRPr="00CA391F">
        <w:t xml:space="preserve"> y </w:t>
      </w:r>
      <w:r w:rsidR="00431238" w:rsidRPr="00CA391F">
        <w:t>d</w:t>
      </w:r>
      <w:r w:rsidR="00FD7D62" w:rsidRPr="00CA391F">
        <w:t xml:space="preserve">el </w:t>
      </w:r>
      <w:r w:rsidR="00FD7D62" w:rsidRPr="00CA391F">
        <w:rPr>
          <w:i/>
        </w:rPr>
        <w:t>Archiduque</w:t>
      </w:r>
      <w:r w:rsidR="00256942" w:rsidRPr="00CA391F">
        <w:rPr>
          <w:i/>
        </w:rPr>
        <w:t xml:space="preserve"> L</w:t>
      </w:r>
      <w:r w:rsidR="00FD7D62" w:rsidRPr="00CA391F">
        <w:rPr>
          <w:i/>
        </w:rPr>
        <w:t>eopoldo Guillermo de Austria</w:t>
      </w:r>
      <w:r w:rsidR="00431238" w:rsidRPr="00CA391F">
        <w:rPr>
          <w:i/>
        </w:rPr>
        <w:t xml:space="preserve"> en la batalla de Dunquerque </w:t>
      </w:r>
      <w:r w:rsidR="00431238" w:rsidRPr="00CA391F">
        <w:t>(1652)</w:t>
      </w:r>
      <w:r w:rsidR="00431238" w:rsidRPr="00CA391F">
        <w:rPr>
          <w:rStyle w:val="Marquenotebasdepage"/>
        </w:rPr>
        <w:footnoteReference w:id="13"/>
      </w:r>
      <w:r w:rsidR="00431238" w:rsidRPr="00CA391F">
        <w:t xml:space="preserve"> (</w:t>
      </w:r>
      <w:r w:rsidR="00954D9B" w:rsidRPr="00CA391F">
        <w:t>fig. 6</w:t>
      </w:r>
      <w:r w:rsidR="00431238" w:rsidRPr="00CA391F">
        <w:t>).</w:t>
      </w:r>
      <w:r w:rsidR="00431238" w:rsidRPr="0030135C">
        <w:t xml:space="preserve"> </w:t>
      </w:r>
    </w:p>
    <w:p w14:paraId="491C5BF5" w14:textId="27710B2D" w:rsidR="007C7F1F" w:rsidRPr="0030135C" w:rsidRDefault="00854582" w:rsidP="0030135C">
      <w:pPr>
        <w:spacing w:line="360" w:lineRule="auto"/>
        <w:jc w:val="both"/>
      </w:pPr>
      <w:r w:rsidRPr="0030135C">
        <w:t>En cuanto a la identidad del retratado, su indumentaria no deja lugar a dudas de que se trata de un</w:t>
      </w:r>
      <w:r w:rsidR="002E508F" w:rsidRPr="0030135C">
        <w:t xml:space="preserve"> </w:t>
      </w:r>
      <w:r w:rsidR="000F23C2" w:rsidRPr="0030135C">
        <w:t xml:space="preserve">alto </w:t>
      </w:r>
      <w:r w:rsidR="002E508F" w:rsidRPr="0030135C">
        <w:t>militar</w:t>
      </w:r>
      <w:r w:rsidRPr="0030135C">
        <w:t xml:space="preserve"> al servicio del rey de España</w:t>
      </w:r>
      <w:r w:rsidR="00447739" w:rsidRPr="0030135C">
        <w:t xml:space="preserve">. </w:t>
      </w:r>
      <w:r w:rsidR="00DB7C53" w:rsidRPr="0030135C">
        <w:t>D</w:t>
      </w:r>
      <w:r w:rsidR="00163AA1" w:rsidRPr="0030135C">
        <w:t xml:space="preserve">ados sus rasgos, muy marcados, teníamos esperanzas de </w:t>
      </w:r>
      <w:r w:rsidR="00DB7C53" w:rsidRPr="0030135C">
        <w:t>hallar</w:t>
      </w:r>
      <w:r w:rsidR="000F23C2" w:rsidRPr="0030135C">
        <w:t xml:space="preserve"> su nombre</w:t>
      </w:r>
      <w:r w:rsidR="00163AA1" w:rsidRPr="0030135C">
        <w:t>. Una intensa búsqueda entre posibles candidatos nos permitió dar con un personaj</w:t>
      </w:r>
      <w:r w:rsidR="00DB7C53" w:rsidRPr="0030135C">
        <w:t xml:space="preserve">e de idénticas características: </w:t>
      </w:r>
      <w:r w:rsidR="00736DAC" w:rsidRPr="0030135C">
        <w:t xml:space="preserve">cejijunto, </w:t>
      </w:r>
      <w:r w:rsidR="00163AA1" w:rsidRPr="0030135C">
        <w:t xml:space="preserve">con </w:t>
      </w:r>
      <w:r w:rsidR="00DB7C53" w:rsidRPr="0030135C">
        <w:t>los mismos</w:t>
      </w:r>
      <w:r w:rsidR="002E508F" w:rsidRPr="0030135C">
        <w:t xml:space="preserve"> ojos grande</w:t>
      </w:r>
      <w:r w:rsidR="00736DAC" w:rsidRPr="0030135C">
        <w:t xml:space="preserve">s, el cabello largo en bucles, </w:t>
      </w:r>
      <w:r w:rsidR="00447739" w:rsidRPr="0030135C">
        <w:t>los labios protuberantes, el</w:t>
      </w:r>
      <w:r w:rsidR="002E508F" w:rsidRPr="0030135C">
        <w:t xml:space="preserve"> </w:t>
      </w:r>
      <w:r w:rsidR="00163AA1" w:rsidRPr="0030135C">
        <w:t>particular</w:t>
      </w:r>
      <w:r w:rsidR="002E508F" w:rsidRPr="0030135C">
        <w:t xml:space="preserve"> bigote </w:t>
      </w:r>
      <w:r w:rsidR="00163AA1" w:rsidRPr="0030135C">
        <w:t>y la perilla. Se</w:t>
      </w:r>
      <w:r w:rsidR="002E508F" w:rsidRPr="0030135C">
        <w:t xml:space="preserve"> trata de Don Francisco </w:t>
      </w:r>
      <w:r w:rsidR="00FB189D" w:rsidRPr="0030135C">
        <w:t xml:space="preserve">Fernández </w:t>
      </w:r>
      <w:r w:rsidR="002E508F" w:rsidRPr="0030135C">
        <w:t xml:space="preserve">de la Cueva, </w:t>
      </w:r>
      <w:r w:rsidR="000976F8" w:rsidRPr="0030135C">
        <w:t xml:space="preserve">VIII </w:t>
      </w:r>
      <w:r w:rsidR="00CA391F">
        <w:t>D</w:t>
      </w:r>
      <w:r w:rsidR="002E508F" w:rsidRPr="0030135C">
        <w:t>uque de Alburquerque, Grande de España</w:t>
      </w:r>
      <w:r w:rsidR="00412889" w:rsidRPr="0030135C">
        <w:t>, v</w:t>
      </w:r>
      <w:r w:rsidR="007E002B" w:rsidRPr="0030135C">
        <w:t>irrey de México y de Sicilia, Caballero de la Orden de Santiago</w:t>
      </w:r>
      <w:r w:rsidR="00B27016" w:rsidRPr="0030135C">
        <w:t xml:space="preserve"> (</w:t>
      </w:r>
      <w:r w:rsidR="00035507" w:rsidRPr="0030135C">
        <w:t>Bar</w:t>
      </w:r>
      <w:r w:rsidR="005214FF" w:rsidRPr="0030135C">
        <w:t>celona</w:t>
      </w:r>
      <w:r w:rsidR="007E002B" w:rsidRPr="0030135C">
        <w:t xml:space="preserve">, 1619 - </w:t>
      </w:r>
      <w:r w:rsidR="00B27016" w:rsidRPr="0030135C">
        <w:t>Madrid, 1676)</w:t>
      </w:r>
      <w:r w:rsidR="00412889" w:rsidRPr="0030135C">
        <w:t>. Lo</w:t>
      </w:r>
      <w:r w:rsidR="00163AA1" w:rsidRPr="0030135C">
        <w:t xml:space="preserve"> reconocimos en un grabado </w:t>
      </w:r>
      <w:r w:rsidR="00163AA1" w:rsidRPr="00CA391F">
        <w:t>(</w:t>
      </w:r>
      <w:r w:rsidR="00F01688" w:rsidRPr="00CA391F">
        <w:t>fig. 8</w:t>
      </w:r>
      <w:r w:rsidR="00163AA1" w:rsidRPr="00CA391F">
        <w:t>)</w:t>
      </w:r>
      <w:r w:rsidR="00163AA1" w:rsidRPr="0030135C">
        <w:t xml:space="preserve"> reproducido </w:t>
      </w:r>
      <w:r w:rsidR="00CB36DA" w:rsidRPr="0030135C">
        <w:t>y</w:t>
      </w:r>
      <w:r w:rsidR="00205C00" w:rsidRPr="0030135C">
        <w:t xml:space="preserve"> publicado </w:t>
      </w:r>
      <w:r w:rsidR="007704C5" w:rsidRPr="0030135C">
        <w:t xml:space="preserve">por el historiador Galeazzo Gualdo Priorato en </w:t>
      </w:r>
      <w:r w:rsidR="004F61AF" w:rsidRPr="0030135C">
        <w:t>1674</w:t>
      </w:r>
      <w:r w:rsidR="00730437" w:rsidRPr="0030135C">
        <w:rPr>
          <w:rStyle w:val="Marquenotebasdepage"/>
        </w:rPr>
        <w:footnoteReference w:id="14"/>
      </w:r>
      <w:r w:rsidR="00205C00" w:rsidRPr="0030135C">
        <w:t xml:space="preserve">. </w:t>
      </w:r>
      <w:r w:rsidR="00163AA1" w:rsidRPr="0030135C">
        <w:t>La cartel</w:t>
      </w:r>
      <w:r w:rsidR="007704C5" w:rsidRPr="0030135C">
        <w:t>a que acompaña la imagen de nuestro</w:t>
      </w:r>
      <w:r w:rsidR="00163AA1" w:rsidRPr="0030135C">
        <w:t xml:space="preserve"> </w:t>
      </w:r>
      <w:r w:rsidR="003F72B6" w:rsidRPr="0030135C">
        <w:t>ilustre</w:t>
      </w:r>
      <w:r w:rsidR="00651DEB">
        <w:t xml:space="preserve"> personaje en aquella edición y</w:t>
      </w:r>
      <w:r w:rsidR="00163AA1" w:rsidRPr="0030135C">
        <w:t xml:space="preserve">erra en el nombre de pila del retratado, llamándolo Fernando </w:t>
      </w:r>
      <w:r w:rsidR="00FB189D" w:rsidRPr="0030135C">
        <w:t>–según su patronímico-</w:t>
      </w:r>
      <w:r w:rsidR="00205C00" w:rsidRPr="0030135C">
        <w:t xml:space="preserve"> </w:t>
      </w:r>
      <w:r w:rsidR="00163AA1" w:rsidRPr="0030135C">
        <w:t>en lug</w:t>
      </w:r>
      <w:r w:rsidR="003F72B6" w:rsidRPr="0030135C">
        <w:t xml:space="preserve">ar de Francisco, </w:t>
      </w:r>
      <w:r w:rsidR="004A3A76" w:rsidRPr="0030135C">
        <w:t xml:space="preserve">siguiendo </w:t>
      </w:r>
      <w:r w:rsidR="003F72B6" w:rsidRPr="0030135C">
        <w:t xml:space="preserve">sus títulos </w:t>
      </w:r>
      <w:r w:rsidR="00FF69FB" w:rsidRPr="0030135C">
        <w:t xml:space="preserve">y </w:t>
      </w:r>
      <w:r w:rsidR="004A3A76" w:rsidRPr="0030135C">
        <w:t>la alusión</w:t>
      </w:r>
      <w:r w:rsidR="00FF69FB" w:rsidRPr="0030135C">
        <w:t xml:space="preserve"> a la infa</w:t>
      </w:r>
      <w:r w:rsidR="004A3A76" w:rsidRPr="0030135C">
        <w:t>nta Margarita, a quien el duque</w:t>
      </w:r>
      <w:r w:rsidR="00FF69FB" w:rsidRPr="0030135C">
        <w:t xml:space="preserve"> acompañó</w:t>
      </w:r>
      <w:r w:rsidR="004A3A76" w:rsidRPr="0030135C">
        <w:t xml:space="preserve"> en su </w:t>
      </w:r>
      <w:r w:rsidR="003F3B3E" w:rsidRPr="0030135C">
        <w:t xml:space="preserve">largo </w:t>
      </w:r>
      <w:r w:rsidR="004A3A76" w:rsidRPr="0030135C">
        <w:t>viaje a Viena</w:t>
      </w:r>
      <w:r w:rsidR="00FF69FB" w:rsidRPr="0030135C">
        <w:t xml:space="preserve"> </w:t>
      </w:r>
      <w:r w:rsidR="003F3B3E" w:rsidRPr="0030135C">
        <w:t>en 1666 para encontrarse con su</w:t>
      </w:r>
      <w:r w:rsidR="004A3A76" w:rsidRPr="0030135C">
        <w:t xml:space="preserve"> </w:t>
      </w:r>
      <w:r w:rsidR="003F3B3E" w:rsidRPr="0030135C">
        <w:t>tío y esposo</w:t>
      </w:r>
      <w:r w:rsidR="004A3A76" w:rsidRPr="0030135C">
        <w:t>, e</w:t>
      </w:r>
      <w:r w:rsidR="00FF69FB" w:rsidRPr="0030135C">
        <w:t>l emperador Leopoldo</w:t>
      </w:r>
      <w:r w:rsidR="004A3A76" w:rsidRPr="0030135C">
        <w:t xml:space="preserve"> I</w:t>
      </w:r>
      <w:r w:rsidR="009F6BAE" w:rsidRPr="0030135C">
        <w:t xml:space="preserve">. </w:t>
      </w:r>
      <w:r w:rsidR="00CF0C60" w:rsidRPr="0030135C">
        <w:t xml:space="preserve">Si bien no hay </w:t>
      </w:r>
      <w:r w:rsidR="009B1C4B" w:rsidRPr="0030135C">
        <w:t>inscripción</w:t>
      </w:r>
      <w:r w:rsidR="00CF0C60" w:rsidRPr="0030135C">
        <w:t xml:space="preserve"> que</w:t>
      </w:r>
      <w:r w:rsidR="009B1C4B" w:rsidRPr="0030135C">
        <w:t xml:space="preserve"> informe del artista que ejecutó</w:t>
      </w:r>
      <w:r w:rsidR="00CF0C60" w:rsidRPr="0030135C">
        <w:t xml:space="preserve"> el grabado ni del pintor, otros retratos grabados del mismo volumen llevan la </w:t>
      </w:r>
      <w:r w:rsidR="009B1C4B" w:rsidRPr="0030135C">
        <w:t>inscripción “Corn. Meÿsens Fe.”, atestiguando de la autoría del grabador Cornelis Meyssens, de quien se conocen, de otra parte, varios grabado</w:t>
      </w:r>
      <w:r w:rsidR="00EC687D" w:rsidRPr="0030135C">
        <w:t xml:space="preserve">s siguiendo retratos de los </w:t>
      </w:r>
      <w:r w:rsidR="009B1C4B" w:rsidRPr="0030135C">
        <w:t>Wautier</w:t>
      </w:r>
      <w:r w:rsidR="009B1C4B" w:rsidRPr="0030135C">
        <w:rPr>
          <w:rStyle w:val="Marquenotebasdepage"/>
        </w:rPr>
        <w:footnoteReference w:id="15"/>
      </w:r>
      <w:r w:rsidR="00004480" w:rsidRPr="0030135C">
        <w:t>.</w:t>
      </w:r>
      <w:r w:rsidR="00794F76" w:rsidRPr="0030135C">
        <w:t xml:space="preserve"> La misma </w:t>
      </w:r>
      <w:r w:rsidR="00F01688" w:rsidRPr="0030135C">
        <w:t>imagen, pero sin la car</w:t>
      </w:r>
      <w:r w:rsidR="00794F76" w:rsidRPr="0030135C">
        <w:t>t</w:t>
      </w:r>
      <w:r w:rsidR="00F01688" w:rsidRPr="0030135C">
        <w:t>e</w:t>
      </w:r>
      <w:r w:rsidR="00794F76" w:rsidRPr="0030135C">
        <w:t xml:space="preserve">la, fue reproducida por Fernández Duro en la contracubierta del volumen que dedicó a este </w:t>
      </w:r>
      <w:r w:rsidR="00F01688" w:rsidRPr="0030135C">
        <w:t>personaje</w:t>
      </w:r>
      <w:r w:rsidR="00794F76" w:rsidRPr="0030135C">
        <w:t xml:space="preserve"> en 1885</w:t>
      </w:r>
      <w:r w:rsidR="00794F76" w:rsidRPr="0030135C">
        <w:rPr>
          <w:rStyle w:val="Marquenotebasdepage"/>
        </w:rPr>
        <w:footnoteReference w:id="16"/>
      </w:r>
      <w:r w:rsidR="00794F76" w:rsidRPr="0030135C">
        <w:t>.</w:t>
      </w:r>
    </w:p>
    <w:p w14:paraId="43299497" w14:textId="6DD4960E" w:rsidR="00174248" w:rsidRPr="0030135C" w:rsidRDefault="000D3E8E" w:rsidP="0030135C">
      <w:pPr>
        <w:spacing w:line="360" w:lineRule="auto"/>
        <w:jc w:val="both"/>
      </w:pPr>
      <w:r w:rsidRPr="0030135C">
        <w:t>El caballero</w:t>
      </w:r>
      <w:r w:rsidR="00384E49" w:rsidRPr="0030135C">
        <w:t xml:space="preserve"> es má</w:t>
      </w:r>
      <w:r w:rsidR="009F6BAE" w:rsidRPr="0030135C">
        <w:t>s c</w:t>
      </w:r>
      <w:r w:rsidR="006E298B" w:rsidRPr="0030135C">
        <w:t>onocido por haber sido</w:t>
      </w:r>
      <w:r w:rsidR="00D451FE" w:rsidRPr="0030135C">
        <w:t xml:space="preserve"> Virrey de Méx</w:t>
      </w:r>
      <w:r w:rsidR="009F6BAE" w:rsidRPr="0030135C">
        <w:t xml:space="preserve">ico (1653-1660). De hecho, </w:t>
      </w:r>
      <w:r w:rsidR="00384E49" w:rsidRPr="0030135C">
        <w:t xml:space="preserve">es muy elocuente </w:t>
      </w:r>
      <w:r w:rsidR="009F6BAE" w:rsidRPr="0030135C">
        <w:t xml:space="preserve">el cotejo </w:t>
      </w:r>
      <w:r w:rsidR="006269F3" w:rsidRPr="0030135C">
        <w:t xml:space="preserve">con </w:t>
      </w:r>
      <w:r w:rsidR="00225335" w:rsidRPr="0030135C">
        <w:t>los dos retratos</w:t>
      </w:r>
      <w:r w:rsidR="009F6BAE" w:rsidRPr="0030135C">
        <w:t xml:space="preserve"> </w:t>
      </w:r>
      <w:r w:rsidR="00AE1C71" w:rsidRPr="0030135C">
        <w:t>del virrey que se conocía</w:t>
      </w:r>
      <w:r w:rsidR="00225335" w:rsidRPr="0030135C">
        <w:t>n</w:t>
      </w:r>
      <w:r w:rsidR="00AE1C71" w:rsidRPr="0030135C">
        <w:t xml:space="preserve"> </w:t>
      </w:r>
      <w:r w:rsidR="00384E49" w:rsidRPr="0030135C">
        <w:t xml:space="preserve">hasta </w:t>
      </w:r>
      <w:r w:rsidR="00AE1C71" w:rsidRPr="0030135C">
        <w:t>hoy</w:t>
      </w:r>
      <w:r w:rsidR="00384E49" w:rsidRPr="0030135C">
        <w:t>,</w:t>
      </w:r>
      <w:r w:rsidR="00004480" w:rsidRPr="0030135C">
        <w:t xml:space="preserve"> </w:t>
      </w:r>
      <w:r w:rsidR="006269F3" w:rsidRPr="0030135C">
        <w:t>obra</w:t>
      </w:r>
      <w:r w:rsidR="004323D2" w:rsidRPr="0030135C">
        <w:t xml:space="preserve"> de</w:t>
      </w:r>
      <w:r w:rsidR="00004480" w:rsidRPr="0030135C">
        <w:t xml:space="preserve"> </w:t>
      </w:r>
      <w:r w:rsidR="009F6BAE" w:rsidRPr="0030135C">
        <w:t xml:space="preserve">un </w:t>
      </w:r>
      <w:r w:rsidR="00404960" w:rsidRPr="0030135C">
        <w:t xml:space="preserve">anónimo </w:t>
      </w:r>
      <w:r w:rsidR="009F6BAE" w:rsidRPr="0030135C">
        <w:t>pinto</w:t>
      </w:r>
      <w:r w:rsidR="00D451FE" w:rsidRPr="0030135C">
        <w:t>r del Méx</w:t>
      </w:r>
      <w:r w:rsidR="006269F3" w:rsidRPr="0030135C">
        <w:t>ico v</w:t>
      </w:r>
      <w:r w:rsidR="009F6BAE" w:rsidRPr="0030135C">
        <w:t>irreinal</w:t>
      </w:r>
      <w:r w:rsidR="00AE1C71" w:rsidRPr="0030135C">
        <w:rPr>
          <w:rStyle w:val="Marquenotebasdepage"/>
        </w:rPr>
        <w:footnoteReference w:id="17"/>
      </w:r>
      <w:r w:rsidR="009F6BAE" w:rsidRPr="0030135C">
        <w:t xml:space="preserve"> (</w:t>
      </w:r>
      <w:r w:rsidR="007A1655" w:rsidRPr="0030135C">
        <w:rPr>
          <w:highlight w:val="yellow"/>
        </w:rPr>
        <w:t>fig. 9</w:t>
      </w:r>
      <w:r w:rsidR="00004480" w:rsidRPr="0030135C">
        <w:t>).</w:t>
      </w:r>
      <w:r w:rsidR="00384E49" w:rsidRPr="0030135C">
        <w:t xml:space="preserve"> </w:t>
      </w:r>
      <w:r w:rsidR="00004480" w:rsidRPr="0030135C">
        <w:t xml:space="preserve">Si </w:t>
      </w:r>
      <w:r w:rsidR="00384E49" w:rsidRPr="0030135C">
        <w:t>bien sus facciones</w:t>
      </w:r>
      <w:r w:rsidR="009F6BAE" w:rsidRPr="0030135C">
        <w:t xml:space="preserve"> </w:t>
      </w:r>
      <w:r w:rsidR="00004480" w:rsidRPr="0030135C">
        <w:t>parecen</w:t>
      </w:r>
      <w:r w:rsidR="00384E49" w:rsidRPr="0030135C">
        <w:t xml:space="preserve"> suavizada</w:t>
      </w:r>
      <w:r w:rsidR="00C94196" w:rsidRPr="0030135C">
        <w:t>s y em</w:t>
      </w:r>
      <w:r w:rsidR="00384E49" w:rsidRPr="0030135C">
        <w:t>bellecida</w:t>
      </w:r>
      <w:r w:rsidR="009F6BAE" w:rsidRPr="0030135C">
        <w:t>s en e</w:t>
      </w:r>
      <w:r w:rsidR="00C74143" w:rsidRPr="0030135C">
        <w:t xml:space="preserve">l retrato que nos ocupa, </w:t>
      </w:r>
      <w:r w:rsidR="009F6BAE" w:rsidRPr="0030135C">
        <w:t>el bigote</w:t>
      </w:r>
      <w:r w:rsidR="00384E49" w:rsidRPr="0030135C">
        <w:t xml:space="preserve">, </w:t>
      </w:r>
      <w:r w:rsidR="00C74143" w:rsidRPr="0030135C">
        <w:t>la perilla</w:t>
      </w:r>
      <w:r w:rsidR="009F6BAE" w:rsidRPr="0030135C">
        <w:t>, los labios, la nari</w:t>
      </w:r>
      <w:r w:rsidR="00B27016" w:rsidRPr="0030135C">
        <w:t>z, los ojos grandes y las pobladas cejas</w:t>
      </w:r>
      <w:r w:rsidR="00412889" w:rsidRPr="0030135C">
        <w:t xml:space="preserve"> </w:t>
      </w:r>
      <w:r w:rsidR="00384E49" w:rsidRPr="0030135C">
        <w:t xml:space="preserve">resultan inconfundibles. </w:t>
      </w:r>
      <w:r w:rsidR="00736DAC" w:rsidRPr="0030135C">
        <w:t xml:space="preserve">La frente ancha </w:t>
      </w:r>
      <w:r w:rsidR="00CD4DEB" w:rsidRPr="0030135C">
        <w:t xml:space="preserve">queda disimulada en el retrato de Wautier por el sombrero. </w:t>
      </w:r>
      <w:r w:rsidRPr="0030135C">
        <w:t>Tanto en el ó</w:t>
      </w:r>
      <w:r w:rsidR="008E292C" w:rsidRPr="0030135C">
        <w:t xml:space="preserve">leo mexicano como en el </w:t>
      </w:r>
      <w:r w:rsidR="00AE1C71" w:rsidRPr="0030135C">
        <w:t xml:space="preserve">grabado, </w:t>
      </w:r>
      <w:r w:rsidR="008E292C" w:rsidRPr="0030135C">
        <w:t xml:space="preserve">don Francisco </w:t>
      </w:r>
      <w:r w:rsidR="00AE1C71" w:rsidRPr="0030135C">
        <w:t>ostenta en el pecho</w:t>
      </w:r>
      <w:r w:rsidR="008E292C" w:rsidRPr="0030135C">
        <w:t xml:space="preserve"> la cruz de Santiago, </w:t>
      </w:r>
      <w:r w:rsidR="00AE1C71" w:rsidRPr="0030135C">
        <w:t xml:space="preserve">honor </w:t>
      </w:r>
      <w:r w:rsidR="008E292C" w:rsidRPr="0030135C">
        <w:t xml:space="preserve">que recibió en </w:t>
      </w:r>
      <w:r w:rsidR="00D020DE" w:rsidRPr="0030135C">
        <w:t>1635</w:t>
      </w:r>
      <w:r w:rsidR="00CC0EFE" w:rsidRPr="0030135C">
        <w:rPr>
          <w:rStyle w:val="Marquenotebasdepage"/>
        </w:rPr>
        <w:footnoteReference w:id="18"/>
      </w:r>
      <w:r w:rsidR="008E292C" w:rsidRPr="0030135C">
        <w:t>. Sin emb</w:t>
      </w:r>
      <w:r w:rsidR="004250E7" w:rsidRPr="0030135C">
        <w:t xml:space="preserve">rago, este detalle se omite en el </w:t>
      </w:r>
      <w:r w:rsidR="00F46A0B" w:rsidRPr="0030135C">
        <w:t>óleo</w:t>
      </w:r>
      <w:r w:rsidR="004250E7" w:rsidRPr="0030135C">
        <w:t xml:space="preserve"> </w:t>
      </w:r>
      <w:r w:rsidR="00736DAC" w:rsidRPr="0030135C">
        <w:t>de Wautier</w:t>
      </w:r>
      <w:r w:rsidR="008E292C" w:rsidRPr="0030135C">
        <w:t xml:space="preserve">. No sabemos si por mera coincidencia, pero recordamos que igualmente se </w:t>
      </w:r>
      <w:r w:rsidR="00205C00" w:rsidRPr="0030135C">
        <w:t>prescinde</w:t>
      </w:r>
      <w:r w:rsidR="008E292C" w:rsidRPr="0030135C">
        <w:t xml:space="preserve"> </w:t>
      </w:r>
      <w:r w:rsidR="00205C00" w:rsidRPr="0030135C">
        <w:t xml:space="preserve">de </w:t>
      </w:r>
      <w:r w:rsidR="008E292C" w:rsidRPr="0030135C">
        <w:t xml:space="preserve">esta condecoración en el </w:t>
      </w:r>
      <w:r w:rsidR="009730AB" w:rsidRPr="0030135C">
        <w:rPr>
          <w:i/>
        </w:rPr>
        <w:t>Retrato de D</w:t>
      </w:r>
      <w:r w:rsidR="008E292C" w:rsidRPr="0030135C">
        <w:rPr>
          <w:i/>
        </w:rPr>
        <w:t>on Antonio Pimentel de Prado</w:t>
      </w:r>
      <w:r w:rsidR="008C1AF1" w:rsidRPr="0030135C">
        <w:t xml:space="preserve"> </w:t>
      </w:r>
      <w:r w:rsidR="008C1AF1" w:rsidRPr="00CA391F">
        <w:t>(fig. 3)</w:t>
      </w:r>
      <w:r w:rsidR="008C1AF1" w:rsidRPr="0030135C">
        <w:t xml:space="preserve"> </w:t>
      </w:r>
      <w:r w:rsidRPr="0030135C">
        <w:t>también poseedor de</w:t>
      </w:r>
      <w:r w:rsidR="008E292C" w:rsidRPr="0030135C">
        <w:t xml:space="preserve"> la encomienda en el momento que posa p</w:t>
      </w:r>
      <w:r w:rsidR="005C3423" w:rsidRPr="0030135C">
        <w:t>ara Michaelina Wautier en 1649;</w:t>
      </w:r>
      <w:r w:rsidR="008C1AF1" w:rsidRPr="0030135C">
        <w:t xml:space="preserve"> detalle </w:t>
      </w:r>
      <w:r w:rsidR="00736DAC" w:rsidRPr="0030135C">
        <w:t>presente</w:t>
      </w:r>
      <w:r w:rsidR="008C1AF1" w:rsidRPr="0030135C">
        <w:t xml:space="preserve">, sin embargo, en el grabado del mismo personaje </w:t>
      </w:r>
      <w:r w:rsidR="008C1AF1" w:rsidRPr="00CA391F">
        <w:t>(</w:t>
      </w:r>
      <w:r w:rsidR="00954D9B" w:rsidRPr="00CA391F">
        <w:t>fig. 4</w:t>
      </w:r>
      <w:r w:rsidR="008C1AF1" w:rsidRPr="00CA391F">
        <w:t>),</w:t>
      </w:r>
      <w:r w:rsidR="008C1AF1" w:rsidRPr="0030135C">
        <w:t xml:space="preserve"> obra de Pieter de Jode </w:t>
      </w:r>
      <w:r w:rsidR="00736DAC" w:rsidRPr="0030135C">
        <w:t>ejecutada –</w:t>
      </w:r>
      <w:r w:rsidR="00403735" w:rsidRPr="0030135C">
        <w:t>como indicaría</w:t>
      </w:r>
      <w:r w:rsidR="00736DAC" w:rsidRPr="0030135C">
        <w:t xml:space="preserve"> la inscripción</w:t>
      </w:r>
      <w:r w:rsidR="00403735" w:rsidRPr="0030135C">
        <w:t xml:space="preserve"> “C.</w:t>
      </w:r>
      <w:r w:rsidR="00904487" w:rsidRPr="0030135C">
        <w:t xml:space="preserve"> Woutiers pinx”</w:t>
      </w:r>
      <w:r w:rsidR="00736DAC" w:rsidRPr="0030135C">
        <w:t>- a partir de</w:t>
      </w:r>
      <w:r w:rsidR="001E241B" w:rsidRPr="0030135C">
        <w:t xml:space="preserve"> un retrato de Charles Wautier</w:t>
      </w:r>
      <w:r w:rsidR="008C1AF1" w:rsidRPr="0030135C">
        <w:t xml:space="preserve"> </w:t>
      </w:r>
      <w:r w:rsidR="00736DAC" w:rsidRPr="0030135C">
        <w:t>que no ha</w:t>
      </w:r>
      <w:r w:rsidR="00403735" w:rsidRPr="0030135C">
        <w:t>bría</w:t>
      </w:r>
      <w:r w:rsidR="00736DAC" w:rsidRPr="0030135C">
        <w:t xml:space="preserve"> llegado a nosotros</w:t>
      </w:r>
      <w:r w:rsidR="008C1AF1" w:rsidRPr="0030135C">
        <w:rPr>
          <w:rStyle w:val="Marquenotebasdepage"/>
        </w:rPr>
        <w:footnoteReference w:id="19"/>
      </w:r>
      <w:r w:rsidR="008C1AF1" w:rsidRPr="0030135C">
        <w:t xml:space="preserve">. </w:t>
      </w:r>
    </w:p>
    <w:p w14:paraId="4649F933" w14:textId="41B6EB3F" w:rsidR="009F6BAE" w:rsidRPr="0030135C" w:rsidRDefault="00BE5E4A" w:rsidP="0030135C">
      <w:pPr>
        <w:spacing w:line="360" w:lineRule="auto"/>
        <w:jc w:val="both"/>
      </w:pPr>
      <w:r w:rsidRPr="0030135C">
        <w:t>N</w:t>
      </w:r>
      <w:r w:rsidR="00736DAC" w:rsidRPr="0030135C">
        <w:t xml:space="preserve">os preguntamos si el grabado </w:t>
      </w:r>
      <w:r w:rsidRPr="0030135C">
        <w:t xml:space="preserve">de </w:t>
      </w:r>
      <w:r w:rsidR="00F6153D" w:rsidRPr="0030135C">
        <w:t xml:space="preserve">Alburquerque </w:t>
      </w:r>
      <w:r w:rsidR="00736DAC" w:rsidRPr="0030135C">
        <w:t>(</w:t>
      </w:r>
      <w:r w:rsidR="007A1655" w:rsidRPr="00CA391F">
        <w:t>fig. 8</w:t>
      </w:r>
      <w:r w:rsidR="00736DAC" w:rsidRPr="00CA391F">
        <w:t>)</w:t>
      </w:r>
      <w:r w:rsidRPr="0030135C">
        <w:t xml:space="preserve"> </w:t>
      </w:r>
      <w:r w:rsidR="00F6153D" w:rsidRPr="0030135C">
        <w:t>-</w:t>
      </w:r>
      <w:r w:rsidRPr="0030135C">
        <w:t>sin inscripci</w:t>
      </w:r>
      <w:r w:rsidR="00F6153D" w:rsidRPr="0030135C">
        <w:t>ón que testimonie de su autoría-</w:t>
      </w:r>
      <w:r w:rsidRPr="0030135C">
        <w:t xml:space="preserve"> no derivaría también de un retrato de los Wautier como éste, como parecen indicar las fuertes analogías. </w:t>
      </w:r>
      <w:r w:rsidR="007F7973" w:rsidRPr="0030135C">
        <w:t>Sucede a menudo</w:t>
      </w:r>
      <w:r w:rsidRPr="0030135C">
        <w:t xml:space="preserve"> que</w:t>
      </w:r>
      <w:r w:rsidR="007F7973" w:rsidRPr="0030135C">
        <w:t>,</w:t>
      </w:r>
      <w:r w:rsidRPr="0030135C">
        <w:t xml:space="preserve"> a medida que se publi</w:t>
      </w:r>
      <w:r w:rsidR="00A26BE5" w:rsidRPr="0030135C">
        <w:t>can los grabados en ediciones má</w:t>
      </w:r>
      <w:r w:rsidRPr="0030135C">
        <w:t xml:space="preserve">s tardías, se </w:t>
      </w:r>
      <w:r w:rsidR="007F7973" w:rsidRPr="0030135C">
        <w:t>omite</w:t>
      </w:r>
      <w:r w:rsidR="00A26BE5" w:rsidRPr="0030135C">
        <w:t>n</w:t>
      </w:r>
      <w:r w:rsidRPr="0030135C">
        <w:t xml:space="preserve"> las inscripciones que recue</w:t>
      </w:r>
      <w:r w:rsidR="008E45B0" w:rsidRPr="0030135C">
        <w:t xml:space="preserve">rdan los nombres </w:t>
      </w:r>
      <w:r w:rsidRPr="0030135C">
        <w:t>del pintor</w:t>
      </w:r>
      <w:r w:rsidR="008E45B0" w:rsidRPr="0030135C">
        <w:t xml:space="preserve"> y/o del grabador</w:t>
      </w:r>
      <w:r w:rsidRPr="0030135C">
        <w:t xml:space="preserve">. Es lo que se ha observado, por ejemplo, </w:t>
      </w:r>
      <w:r w:rsidR="00A26BE5" w:rsidRPr="0030135C">
        <w:t>al comparar</w:t>
      </w:r>
      <w:r w:rsidR="00403735" w:rsidRPr="0030135C">
        <w:t xml:space="preserve"> lo</w:t>
      </w:r>
      <w:r w:rsidRPr="0030135C">
        <w:t xml:space="preserve">s </w:t>
      </w:r>
      <w:r w:rsidR="00403735" w:rsidRPr="0030135C">
        <w:t>cinco</w:t>
      </w:r>
      <w:r w:rsidRPr="0030135C">
        <w:t xml:space="preserve"> grabado</w:t>
      </w:r>
      <w:r w:rsidR="00403735" w:rsidRPr="0030135C">
        <w:t>s conocidos</w:t>
      </w:r>
      <w:r w:rsidRPr="0030135C">
        <w:t xml:space="preserve"> con</w:t>
      </w:r>
      <w:r w:rsidR="00A26BE5" w:rsidRPr="0030135C">
        <w:t xml:space="preserve"> el </w:t>
      </w:r>
      <w:r w:rsidR="00A26BE5" w:rsidRPr="0030135C">
        <w:rPr>
          <w:i/>
        </w:rPr>
        <w:t>Retrato de Andrea Cantelmo</w:t>
      </w:r>
      <w:r w:rsidR="00A26BE5" w:rsidRPr="0030135C">
        <w:t xml:space="preserve">: la inscripción “Michaelina Woutiers pinxit” presente </w:t>
      </w:r>
      <w:r w:rsidR="007D4F74" w:rsidRPr="0030135C">
        <w:t xml:space="preserve">abajo a la izquierda </w:t>
      </w:r>
      <w:r w:rsidR="00A26BE5" w:rsidRPr="0030135C">
        <w:t xml:space="preserve">en la primera edición de 1643 </w:t>
      </w:r>
      <w:r w:rsidR="00A26BE5" w:rsidRPr="00CA391F">
        <w:t>(</w:t>
      </w:r>
      <w:r w:rsidR="005D7AAB" w:rsidRPr="00CA391F">
        <w:t>fig. 10</w:t>
      </w:r>
      <w:r w:rsidR="00A26BE5" w:rsidRPr="00CA391F">
        <w:t>),</w:t>
      </w:r>
      <w:r w:rsidR="00A26BE5" w:rsidRPr="0030135C">
        <w:t xml:space="preserve"> cambia de </w:t>
      </w:r>
      <w:r w:rsidR="007D4F74" w:rsidRPr="0030135C">
        <w:t>ubicación</w:t>
      </w:r>
      <w:r w:rsidR="00A26BE5" w:rsidRPr="0030135C">
        <w:t xml:space="preserve"> </w:t>
      </w:r>
      <w:r w:rsidR="00CA391F">
        <w:t xml:space="preserve">y de tamaño </w:t>
      </w:r>
      <w:r w:rsidR="00A26BE5" w:rsidRPr="0030135C">
        <w:t>en ediciones posteriores para terminar por desaparecer por completo</w:t>
      </w:r>
      <w:r w:rsidR="00A26BE5" w:rsidRPr="0030135C">
        <w:rPr>
          <w:rStyle w:val="Marquenotebasdepage"/>
        </w:rPr>
        <w:footnoteReference w:id="20"/>
      </w:r>
      <w:r w:rsidR="00A26BE5" w:rsidRPr="0030135C">
        <w:t xml:space="preserve">. </w:t>
      </w:r>
      <w:r w:rsidR="00403735" w:rsidRPr="0030135C">
        <w:t xml:space="preserve">En el caso del </w:t>
      </w:r>
      <w:r w:rsidR="00403735" w:rsidRPr="0030135C">
        <w:rPr>
          <w:i/>
        </w:rPr>
        <w:t>Retrato de Antonio Pimentel de Prado</w:t>
      </w:r>
      <w:r w:rsidR="007A1655" w:rsidRPr="0030135C">
        <w:t xml:space="preserve"> </w:t>
      </w:r>
      <w:r w:rsidR="007A1655" w:rsidRPr="00CA391F">
        <w:t>(</w:t>
      </w:r>
      <w:r w:rsidR="00CA391F" w:rsidRPr="00CA391F">
        <w:t>f</w:t>
      </w:r>
      <w:r w:rsidR="007A1655" w:rsidRPr="00CA391F">
        <w:t>igs. 3 y 4)</w:t>
      </w:r>
      <w:r w:rsidR="007A1655" w:rsidRPr="0030135C">
        <w:t xml:space="preserve"> </w:t>
      </w:r>
      <w:r w:rsidR="00403735" w:rsidRPr="0030135C">
        <w:t xml:space="preserve">nos preguntamos si hay que dar crédito a la inscripción  “C. Woutiers pinx” del grabado y concluir que Charles Wautier </w:t>
      </w:r>
      <w:r w:rsidR="00923CE0" w:rsidRPr="0030135C">
        <w:t>realmente ejecutó</w:t>
      </w:r>
      <w:r w:rsidR="00403735" w:rsidRPr="0030135C">
        <w:t xml:space="preserve"> un segundo retrato</w:t>
      </w:r>
      <w:r w:rsidR="00923CE0" w:rsidRPr="0030135C">
        <w:t xml:space="preserve"> al óleo</w:t>
      </w:r>
      <w:r w:rsidR="00403735" w:rsidRPr="0030135C">
        <w:t xml:space="preserve">, o si el grabado parte del </w:t>
      </w:r>
      <w:r w:rsidR="00923CE0" w:rsidRPr="0030135C">
        <w:t xml:space="preserve">único </w:t>
      </w:r>
      <w:r w:rsidR="00403735" w:rsidRPr="0030135C">
        <w:t>retrato conocido, fi</w:t>
      </w:r>
      <w:r w:rsidR="00923CE0" w:rsidRPr="0030135C">
        <w:t xml:space="preserve">rmado por Michaelina, introduciendo cambios de indumentaria y accesorios. </w:t>
      </w:r>
      <w:r w:rsidR="00653FAF" w:rsidRPr="0030135C">
        <w:t>Si un</w:t>
      </w:r>
      <w:r w:rsidR="00F46A0B" w:rsidRPr="0030135C">
        <w:t xml:space="preserve"> retrato correspondiendo </w:t>
      </w:r>
      <w:r w:rsidR="00653FAF" w:rsidRPr="0030135C">
        <w:t>exactamente</w:t>
      </w:r>
      <w:r w:rsidR="00F46A0B" w:rsidRPr="0030135C">
        <w:t xml:space="preserve"> al grabado </w:t>
      </w:r>
      <w:r w:rsidR="00CC3B51" w:rsidRPr="0030135C">
        <w:t>apareciera, quedarían resuelto</w:t>
      </w:r>
      <w:r w:rsidR="008E45B0" w:rsidRPr="0030135C">
        <w:t>s nuestros interrogantes; pero las</w:t>
      </w:r>
      <w:r w:rsidR="00653FAF" w:rsidRPr="0030135C">
        <w:t xml:space="preserve"> ev</w:t>
      </w:r>
      <w:r w:rsidR="00F6153D" w:rsidRPr="0030135C">
        <w:t xml:space="preserve">idencias </w:t>
      </w:r>
      <w:r w:rsidR="008E45B0" w:rsidRPr="0030135C">
        <w:t xml:space="preserve">hasta ahora </w:t>
      </w:r>
      <w:r w:rsidR="00F6153D" w:rsidRPr="0030135C">
        <w:t>disponibles son prueba de</w:t>
      </w:r>
      <w:r w:rsidR="00653FAF" w:rsidRPr="0030135C">
        <w:t xml:space="preserve"> có</w:t>
      </w:r>
      <w:r w:rsidR="00F46A0B" w:rsidRPr="0030135C">
        <w:t xml:space="preserve">mo la producción de estos hermanos está profundamente imbricada. </w:t>
      </w:r>
    </w:p>
    <w:p w14:paraId="50D254FF" w14:textId="56CE945F" w:rsidR="008A3C5B" w:rsidRPr="0030135C" w:rsidRDefault="00412889" w:rsidP="0030135C">
      <w:pPr>
        <w:spacing w:line="360" w:lineRule="auto"/>
        <w:jc w:val="both"/>
        <w:rPr>
          <w:rFonts w:eastAsia="Times New Roman"/>
        </w:rPr>
      </w:pPr>
      <w:r w:rsidRPr="0030135C">
        <w:t>A la pregunta de cómo y cuá</w:t>
      </w:r>
      <w:r w:rsidR="004D55E0" w:rsidRPr="0030135C">
        <w:t>ndo pudo haber posado e</w:t>
      </w:r>
      <w:r w:rsidRPr="0030135C">
        <w:t>ste caballero para los Wautier, respo</w:t>
      </w:r>
      <w:r w:rsidR="008D2A02" w:rsidRPr="0030135C">
        <w:t>nderemos que sólo cabe un lapso de tiempo</w:t>
      </w:r>
      <w:r w:rsidRPr="0030135C">
        <w:t xml:space="preserve">: </w:t>
      </w:r>
      <w:r w:rsidR="00206DFB" w:rsidRPr="0030135C">
        <w:t>en</w:t>
      </w:r>
      <w:r w:rsidR="00147BE0" w:rsidRPr="0030135C">
        <w:t xml:space="preserve">tre finales de 1640 y finales de </w:t>
      </w:r>
      <w:r w:rsidR="004D55E0" w:rsidRPr="0030135C">
        <w:t>1643, durante la esta</w:t>
      </w:r>
      <w:r w:rsidR="00DB507C" w:rsidRPr="0030135C">
        <w:t>n</w:t>
      </w:r>
      <w:r w:rsidR="004D55E0" w:rsidRPr="0030135C">
        <w:t>cia d</w:t>
      </w:r>
      <w:r w:rsidR="00C51FDF" w:rsidRPr="0030135C">
        <w:t xml:space="preserve">e Alburquerque en Flandes. Esto implica </w:t>
      </w:r>
      <w:r w:rsidR="003C7108" w:rsidRPr="0030135C">
        <w:t xml:space="preserve">que el retrato </w:t>
      </w:r>
      <w:r w:rsidR="00C51FDF" w:rsidRPr="0030135C">
        <w:t xml:space="preserve">en cuestión </w:t>
      </w:r>
      <w:r w:rsidR="003C7108" w:rsidRPr="0030135C">
        <w:t xml:space="preserve">es anterior al de </w:t>
      </w:r>
      <w:r w:rsidR="00C51FDF" w:rsidRPr="0030135C">
        <w:rPr>
          <w:i/>
        </w:rPr>
        <w:t xml:space="preserve">Don </w:t>
      </w:r>
      <w:r w:rsidR="003C7108" w:rsidRPr="0030135C">
        <w:rPr>
          <w:i/>
        </w:rPr>
        <w:t>Antonio Pimentel</w:t>
      </w:r>
      <w:r w:rsidR="00C51FDF" w:rsidRPr="0030135C">
        <w:rPr>
          <w:i/>
        </w:rPr>
        <w:t xml:space="preserve"> de Prado</w:t>
      </w:r>
      <w:r w:rsidR="003C7108" w:rsidRPr="0030135C">
        <w:t xml:space="preserve"> </w:t>
      </w:r>
      <w:r w:rsidR="008E45B0" w:rsidRPr="0030135C">
        <w:t>(1646</w:t>
      </w:r>
      <w:r w:rsidR="007A1655" w:rsidRPr="00CA391F">
        <w:t>. Fig. 3</w:t>
      </w:r>
      <w:r w:rsidR="008E45B0" w:rsidRPr="00CA391F">
        <w:t>)</w:t>
      </w:r>
      <w:r w:rsidR="008E45B0" w:rsidRPr="0030135C">
        <w:t xml:space="preserve"> </w:t>
      </w:r>
      <w:r w:rsidR="003C7108" w:rsidRPr="0030135C">
        <w:t>y contemporáneo al de</w:t>
      </w:r>
      <w:r w:rsidR="00C51FDF" w:rsidRPr="0030135C">
        <w:t>l general</w:t>
      </w:r>
      <w:r w:rsidR="003C7108" w:rsidRPr="0030135C">
        <w:t xml:space="preserve"> </w:t>
      </w:r>
      <w:r w:rsidR="00C51FDF" w:rsidRPr="0030135C">
        <w:rPr>
          <w:i/>
        </w:rPr>
        <w:t>Don Andrea Cantelmo</w:t>
      </w:r>
      <w:r w:rsidR="00C51FDF" w:rsidRPr="0030135C">
        <w:t>, obra que n</w:t>
      </w:r>
      <w:r w:rsidR="003F3B3E" w:rsidRPr="0030135C">
        <w:t>os es conocida únicamente por el</w:t>
      </w:r>
      <w:r w:rsidR="00C51FDF" w:rsidRPr="0030135C">
        <w:t xml:space="preserve"> grabado con la inscripción “Michaelina Woutiers pinxit” fechado en 1643 </w:t>
      </w:r>
      <w:r w:rsidR="00C51FDF" w:rsidRPr="00CA391F">
        <w:t>(</w:t>
      </w:r>
      <w:r w:rsidR="005D7AAB" w:rsidRPr="00CA391F">
        <w:t>fig. 10</w:t>
      </w:r>
      <w:r w:rsidR="00C51FDF" w:rsidRPr="00CA391F">
        <w:t>).</w:t>
      </w:r>
      <w:r w:rsidR="00C51FDF" w:rsidRPr="0030135C">
        <w:t xml:space="preserve"> De hecho, </w:t>
      </w:r>
      <w:r w:rsidR="00651DEB">
        <w:t>creemos</w:t>
      </w:r>
      <w:r w:rsidR="00C51FDF" w:rsidRPr="0030135C">
        <w:t xml:space="preserve"> </w:t>
      </w:r>
      <w:r w:rsidR="00A72F91" w:rsidRPr="0030135C">
        <w:t xml:space="preserve">posible que </w:t>
      </w:r>
      <w:r w:rsidR="00C51FDF" w:rsidRPr="0030135C">
        <w:t xml:space="preserve">Alburquerque </w:t>
      </w:r>
      <w:r w:rsidR="00A72F91" w:rsidRPr="0030135C">
        <w:t>acudiera</w:t>
      </w:r>
      <w:r w:rsidR="00C51FDF" w:rsidRPr="0030135C">
        <w:t xml:space="preserve"> a los Wautier</w:t>
      </w:r>
      <w:r w:rsidRPr="0030135C">
        <w:t xml:space="preserve"> por recomendació</w:t>
      </w:r>
      <w:r w:rsidR="00C51FDF" w:rsidRPr="0030135C">
        <w:t>n de este</w:t>
      </w:r>
      <w:r w:rsidRPr="0030135C">
        <w:t xml:space="preserve"> general</w:t>
      </w:r>
      <w:r w:rsidR="00C51FDF" w:rsidRPr="0030135C">
        <w:t xml:space="preserve">, pues </w:t>
      </w:r>
      <w:r w:rsidR="002A6FF5" w:rsidRPr="0030135C">
        <w:t>ambos</w:t>
      </w:r>
      <w:r w:rsidR="00CD4DEB" w:rsidRPr="0030135C">
        <w:t xml:space="preserve"> </w:t>
      </w:r>
      <w:r w:rsidR="00417C75" w:rsidRPr="0030135C">
        <w:t>se conocen</w:t>
      </w:r>
      <w:r w:rsidR="00A72F91" w:rsidRPr="0030135C">
        <w:t xml:space="preserve"> y </w:t>
      </w:r>
      <w:r w:rsidR="00CD4DEB" w:rsidRPr="0030135C">
        <w:t xml:space="preserve">están en Flandes </w:t>
      </w:r>
      <w:r w:rsidR="00C51FDF" w:rsidRPr="0030135C">
        <w:t xml:space="preserve">luchando por la corona de España </w:t>
      </w:r>
      <w:r w:rsidR="00CD4DEB" w:rsidRPr="0030135C">
        <w:t>en los mismos momentos</w:t>
      </w:r>
      <w:r w:rsidR="00B62683" w:rsidRPr="0030135C">
        <w:t xml:space="preserve">, </w:t>
      </w:r>
      <w:r w:rsidR="00B62683" w:rsidRPr="0030135C">
        <w:rPr>
          <w:rFonts w:eastAsia="Times New Roman"/>
        </w:rPr>
        <w:t xml:space="preserve">colaborando estrechamente en la Batalla de Rocroi (1643): </w:t>
      </w:r>
      <w:r w:rsidR="00345211" w:rsidRPr="0030135C">
        <w:rPr>
          <w:rFonts w:eastAsia="Times New Roman"/>
        </w:rPr>
        <w:t>A</w:t>
      </w:r>
      <w:r w:rsidR="008C7413" w:rsidRPr="0030135C">
        <w:rPr>
          <w:rFonts w:eastAsia="Times New Roman"/>
        </w:rPr>
        <w:t>lburquerque como General de la c</w:t>
      </w:r>
      <w:r w:rsidR="00345211" w:rsidRPr="0030135C">
        <w:rPr>
          <w:rFonts w:eastAsia="Times New Roman"/>
        </w:rPr>
        <w:t xml:space="preserve">aballería de los Estados de Flandes, y Cantelmo como Maestre de Campo General de la caballería de Brabante. </w:t>
      </w:r>
      <w:r w:rsidR="00C51FDF" w:rsidRPr="0030135C">
        <w:t>C</w:t>
      </w:r>
      <w:r w:rsidR="008A3C5B" w:rsidRPr="0030135C">
        <w:t xml:space="preserve">on bastante probabilidad, </w:t>
      </w:r>
      <w:r w:rsidR="007529CD" w:rsidRPr="0030135C">
        <w:t>uno recomendaría al otro</w:t>
      </w:r>
      <w:r w:rsidR="008A3C5B" w:rsidRPr="0030135C">
        <w:t xml:space="preserve"> que la pintora le hiciera, también a él, un retrato del que quedara satisfecho. </w:t>
      </w:r>
      <w:r w:rsidR="008E292C" w:rsidRPr="0030135C">
        <w:t xml:space="preserve">Otros nexos posibles están en la propia familia Wautier, </w:t>
      </w:r>
      <w:r w:rsidR="005F45FE" w:rsidRPr="0030135C">
        <w:t xml:space="preserve">ya </w:t>
      </w:r>
      <w:r w:rsidR="00555DE3" w:rsidRPr="0030135C">
        <w:t xml:space="preserve">que varios de los hermanos hicieron carrera militar: </w:t>
      </w:r>
      <w:r w:rsidR="00BD5E93" w:rsidRPr="0030135C">
        <w:t xml:space="preserve">Jacques </w:t>
      </w:r>
      <w:r w:rsidR="00A72F91" w:rsidRPr="0030135C">
        <w:t>Wautier</w:t>
      </w:r>
      <w:r w:rsidR="00BD5E93" w:rsidRPr="0030135C">
        <w:t xml:space="preserve"> (1602</w:t>
      </w:r>
      <w:r w:rsidR="00A72F91" w:rsidRPr="0030135C">
        <w:t>-</w:t>
      </w:r>
      <w:r w:rsidR="00555DE3" w:rsidRPr="0030135C">
        <w:t xml:space="preserve">1656) </w:t>
      </w:r>
      <w:r w:rsidR="00BD5E93" w:rsidRPr="0030135C">
        <w:t>sirvió en Madrid en el cuerpo de arqueros de la Guardia Real hasta su muerte (1615-1656), siendo ennoblecido en 1628</w:t>
      </w:r>
      <w:r w:rsidR="001E66AC" w:rsidRPr="0030135C">
        <w:rPr>
          <w:rStyle w:val="Marquenotebasdepage"/>
        </w:rPr>
        <w:footnoteReference w:id="21"/>
      </w:r>
      <w:r w:rsidR="00555DE3" w:rsidRPr="0030135C">
        <w:t xml:space="preserve">; y </w:t>
      </w:r>
      <w:r w:rsidR="008E292C" w:rsidRPr="0030135C">
        <w:t xml:space="preserve">Pierre </w:t>
      </w:r>
      <w:r w:rsidR="005F45FE" w:rsidRPr="0030135C">
        <w:t xml:space="preserve">II </w:t>
      </w:r>
      <w:r w:rsidR="008E292C" w:rsidRPr="0030135C">
        <w:t>Wautier</w:t>
      </w:r>
      <w:r w:rsidR="00345211" w:rsidRPr="0030135C">
        <w:t xml:space="preserve"> (16</w:t>
      </w:r>
      <w:r w:rsidR="001E254B" w:rsidRPr="0030135C">
        <w:t>11-1662) estaba en la caballería de Flandes, primero como soldado y después como capitán (</w:t>
      </w:r>
      <w:r w:rsidR="005F45FE" w:rsidRPr="0030135C">
        <w:t>1654</w:t>
      </w:r>
      <w:r w:rsidR="001E254B" w:rsidRPr="0030135C">
        <w:t>)</w:t>
      </w:r>
      <w:r w:rsidR="00555DE3" w:rsidRPr="0030135C">
        <w:rPr>
          <w:rStyle w:val="Marquenotebasdepage"/>
        </w:rPr>
        <w:footnoteReference w:id="22"/>
      </w:r>
      <w:r w:rsidR="00345211" w:rsidRPr="0030135C">
        <w:t xml:space="preserve">. </w:t>
      </w:r>
    </w:p>
    <w:p w14:paraId="4A7D4820" w14:textId="53476195" w:rsidR="00206DFB" w:rsidRPr="0030135C" w:rsidRDefault="00CC3B51" w:rsidP="0030135C">
      <w:pPr>
        <w:spacing w:line="360" w:lineRule="auto"/>
        <w:jc w:val="both"/>
      </w:pPr>
      <w:r w:rsidRPr="0030135C">
        <w:t>En 1638</w:t>
      </w:r>
      <w:r w:rsidR="00174248" w:rsidRPr="0030135C">
        <w:t xml:space="preserve"> </w:t>
      </w:r>
      <w:r w:rsidR="00C51FDF" w:rsidRPr="0030135C">
        <w:t>Alburquerque</w:t>
      </w:r>
      <w:r w:rsidR="00DB507C" w:rsidRPr="0030135C">
        <w:t xml:space="preserve"> había </w:t>
      </w:r>
      <w:r w:rsidR="00674FCF" w:rsidRPr="0030135C">
        <w:t>destacado en la batalla de Fuenterr</w:t>
      </w:r>
      <w:r w:rsidR="00705F8F" w:rsidRPr="0030135C">
        <w:t>abía contra los franceses</w:t>
      </w:r>
      <w:r w:rsidR="00674FCF" w:rsidRPr="0030135C">
        <w:t xml:space="preserve">. </w:t>
      </w:r>
      <w:r w:rsidR="00412889" w:rsidRPr="0030135C">
        <w:t xml:space="preserve"> </w:t>
      </w:r>
      <w:r w:rsidR="00674FCF" w:rsidRPr="0030135C">
        <w:t>Al volver a Madrid, ofreció al Rey “ir donde le mandare”</w:t>
      </w:r>
      <w:r w:rsidR="00205C00" w:rsidRPr="0030135C">
        <w:rPr>
          <w:rStyle w:val="Marquenotebasdepage"/>
        </w:rPr>
        <w:footnoteReference w:id="23"/>
      </w:r>
      <w:r w:rsidR="00674FCF" w:rsidRPr="0030135C">
        <w:t>. Y el rey decid</w:t>
      </w:r>
      <w:r w:rsidR="008D2A02" w:rsidRPr="0030135C">
        <w:t>ió</w:t>
      </w:r>
      <w:r w:rsidR="00674FCF" w:rsidRPr="0030135C">
        <w:t xml:space="preserve"> </w:t>
      </w:r>
      <w:r w:rsidR="00AB540D" w:rsidRPr="0030135C">
        <w:t>enviarlo</w:t>
      </w:r>
      <w:r w:rsidR="00147BE0" w:rsidRPr="0030135C">
        <w:t xml:space="preserve"> a Flandes, a donde llegó a finales de 1640, recibiendo </w:t>
      </w:r>
      <w:r w:rsidR="000D3E8E" w:rsidRPr="0030135C">
        <w:t>a los pocos meses el mando del T</w:t>
      </w:r>
      <w:r w:rsidR="008D2A02" w:rsidRPr="0030135C">
        <w:t>ercio de Saave</w:t>
      </w:r>
      <w:r w:rsidR="00147BE0" w:rsidRPr="0030135C">
        <w:t>d</w:t>
      </w:r>
      <w:r w:rsidR="008D2A02" w:rsidRPr="0030135C">
        <w:t>r</w:t>
      </w:r>
      <w:r w:rsidR="00147BE0" w:rsidRPr="0030135C">
        <w:t>a</w:t>
      </w:r>
      <w:r w:rsidR="00AA1096" w:rsidRPr="0030135C">
        <w:rPr>
          <w:rStyle w:val="Marquenotebasdepage"/>
        </w:rPr>
        <w:footnoteReference w:id="24"/>
      </w:r>
      <w:r w:rsidR="00147BE0" w:rsidRPr="0030135C">
        <w:t xml:space="preserve">. </w:t>
      </w:r>
      <w:r w:rsidR="005F7FD5" w:rsidRPr="0030135C">
        <w:t xml:space="preserve">Tenía poco más de veinte años. </w:t>
      </w:r>
      <w:r w:rsidR="008D2A02" w:rsidRPr="0030135C">
        <w:t>Luchó en la campañ</w:t>
      </w:r>
      <w:r w:rsidR="00D85E65" w:rsidRPr="0030135C">
        <w:t xml:space="preserve">as de 1641, señalándose en la defensa de la Ribera del Saso contra los holandeses. </w:t>
      </w:r>
      <w:r w:rsidR="00206DFB" w:rsidRPr="0030135C">
        <w:t>Demostró tanto valor en la batalla de Chatelet</w:t>
      </w:r>
      <w:r w:rsidR="008C7413" w:rsidRPr="0030135C">
        <w:rPr>
          <w:rStyle w:val="Marquenotebasdepage"/>
        </w:rPr>
        <w:footnoteReference w:id="25"/>
      </w:r>
      <w:r w:rsidR="008C7413" w:rsidRPr="0030135C">
        <w:t xml:space="preserve"> (1642)</w:t>
      </w:r>
      <w:r w:rsidR="00C55515" w:rsidRPr="0030135C">
        <w:t>, que recibió</w:t>
      </w:r>
      <w:r w:rsidR="00206DFB" w:rsidRPr="0030135C">
        <w:t xml:space="preserve"> carta del rey, informado de sus heroicos hechos, agradeciéndole su valor</w:t>
      </w:r>
      <w:r w:rsidR="00205C00" w:rsidRPr="0030135C">
        <w:rPr>
          <w:rStyle w:val="Marquenotebasdepage"/>
        </w:rPr>
        <w:footnoteReference w:id="26"/>
      </w:r>
      <w:r w:rsidR="00205C00" w:rsidRPr="0030135C">
        <w:t>.</w:t>
      </w:r>
    </w:p>
    <w:p w14:paraId="53FF4676" w14:textId="2C302D91" w:rsidR="00C541E7" w:rsidRDefault="008D2A02" w:rsidP="0030135C">
      <w:pPr>
        <w:spacing w:line="360" w:lineRule="auto"/>
        <w:jc w:val="both"/>
      </w:pPr>
      <w:r w:rsidRPr="0030135C">
        <w:t>S</w:t>
      </w:r>
      <w:r w:rsidR="00412889" w:rsidRPr="0030135C">
        <w:t>u misión má</w:t>
      </w:r>
      <w:r w:rsidR="00DB507C" w:rsidRPr="0030135C">
        <w:t xml:space="preserve">s nombrada en tierras flamencas fue su participación </w:t>
      </w:r>
      <w:r w:rsidR="002113C9" w:rsidRPr="0030135C">
        <w:t>en la Batalla de Rocroi, que aconteció el 19 de Mayo de 1643</w:t>
      </w:r>
      <w:r w:rsidR="002036E3" w:rsidRPr="0030135C">
        <w:t xml:space="preserve"> y</w:t>
      </w:r>
      <w:r w:rsidR="00C55515" w:rsidRPr="0030135C">
        <w:t xml:space="preserve"> conllevó la derrota para el ejé</w:t>
      </w:r>
      <w:r w:rsidR="002036E3" w:rsidRPr="0030135C">
        <w:t>rcito español</w:t>
      </w:r>
      <w:r w:rsidR="002113C9" w:rsidRPr="0030135C">
        <w:t xml:space="preserve">. </w:t>
      </w:r>
      <w:r w:rsidR="00174248" w:rsidRPr="0030135C">
        <w:t xml:space="preserve">Las noticias contemporáneas </w:t>
      </w:r>
      <w:r w:rsidR="00412889" w:rsidRPr="0030135C">
        <w:t xml:space="preserve">destacan que </w:t>
      </w:r>
      <w:r w:rsidR="00174248" w:rsidRPr="0030135C">
        <w:t xml:space="preserve">Alburquerque </w:t>
      </w:r>
      <w:r w:rsidR="00412889" w:rsidRPr="0030135C">
        <w:t>fue</w:t>
      </w:r>
      <w:r w:rsidR="00CF3B65" w:rsidRPr="0030135C">
        <w:t xml:space="preserve"> acompañado por el conde de Fontana, “flamenco</w:t>
      </w:r>
      <w:r w:rsidR="000710FD" w:rsidRPr="0030135C">
        <w:t>, soldado viejo y de mucha experiencia”</w:t>
      </w:r>
      <w:r w:rsidR="00205C00" w:rsidRPr="0030135C">
        <w:rPr>
          <w:rStyle w:val="Marquenotebasdepage"/>
        </w:rPr>
        <w:footnoteReference w:id="27"/>
      </w:r>
      <w:r w:rsidR="000710FD" w:rsidRPr="0030135C">
        <w:t xml:space="preserve">. </w:t>
      </w:r>
      <w:r w:rsidR="00327739" w:rsidRPr="0030135C">
        <w:t xml:space="preserve">Se </w:t>
      </w:r>
      <w:r w:rsidR="002036E3" w:rsidRPr="0030135C">
        <w:t>trata de</w:t>
      </w:r>
      <w:r w:rsidR="00327739" w:rsidRPr="0030135C">
        <w:t xml:space="preserve"> P</w:t>
      </w:r>
      <w:r w:rsidR="00603DB9" w:rsidRPr="0030135C">
        <w:t>aul-Bernard</w:t>
      </w:r>
      <w:r w:rsidR="00D338EB" w:rsidRPr="0030135C">
        <w:t>, conde de Fontaine</w:t>
      </w:r>
      <w:r w:rsidR="00603DB9" w:rsidRPr="0030135C">
        <w:t xml:space="preserve"> (Lorena, 1566 – Rocroi, 1643)</w:t>
      </w:r>
      <w:r w:rsidR="00C541E7">
        <w:rPr>
          <w:rStyle w:val="Marquenotebasdepage"/>
        </w:rPr>
        <w:footnoteReference w:id="28"/>
      </w:r>
      <w:r w:rsidR="00603DB9" w:rsidRPr="0030135C">
        <w:t xml:space="preserve">, Maestre de Campo </w:t>
      </w:r>
      <w:r w:rsidR="00327739" w:rsidRPr="0030135C">
        <w:t>al ma</w:t>
      </w:r>
      <w:r w:rsidR="00F863DE" w:rsidRPr="0030135C">
        <w:t>ndo de la infantería de Flandes</w:t>
      </w:r>
      <w:r w:rsidR="00327739" w:rsidRPr="0030135C">
        <w:t xml:space="preserve"> que </w:t>
      </w:r>
      <w:r w:rsidR="00F863DE" w:rsidRPr="0030135C">
        <w:t xml:space="preserve">–inválido- </w:t>
      </w:r>
      <w:r w:rsidR="00FE62CB" w:rsidRPr="0030135C">
        <w:t xml:space="preserve">murió en la batalla </w:t>
      </w:r>
      <w:r w:rsidR="00576E18" w:rsidRPr="0030135C">
        <w:t xml:space="preserve">dirigiendo </w:t>
      </w:r>
      <w:r w:rsidR="00F863DE" w:rsidRPr="0030135C">
        <w:t>sus ejércitos desde una silla</w:t>
      </w:r>
      <w:r w:rsidR="00DF1329" w:rsidRPr="0030135C">
        <w:t xml:space="preserve">, </w:t>
      </w:r>
      <w:r w:rsidR="00327739" w:rsidRPr="0030135C">
        <w:t>detalle que no omiten los grabados fr</w:t>
      </w:r>
      <w:r w:rsidR="00FC76ED" w:rsidRPr="0030135C">
        <w:t>anceses de aquel enfrentamiento, incluyendo la leyenda “Muerte de Fontana M</w:t>
      </w:r>
      <w:r w:rsidR="006F51E3" w:rsidRPr="0030135C">
        <w:t>ariscal de Campo General del Ejé</w:t>
      </w:r>
      <w:r w:rsidR="00FC76ED" w:rsidRPr="0030135C">
        <w:t>rcito de España. Matado en su silla”</w:t>
      </w:r>
      <w:r w:rsidR="006F51E3" w:rsidRPr="0030135C">
        <w:rPr>
          <w:rStyle w:val="Marquenotebasdepage"/>
        </w:rPr>
        <w:footnoteReference w:id="29"/>
      </w:r>
      <w:r w:rsidR="00FC76ED" w:rsidRPr="0030135C">
        <w:t xml:space="preserve"> </w:t>
      </w:r>
      <w:r w:rsidR="00327739" w:rsidRPr="006B3991">
        <w:t>(</w:t>
      </w:r>
      <w:r w:rsidR="007F3919" w:rsidRPr="006B3991">
        <w:t>f</w:t>
      </w:r>
      <w:r w:rsidR="00327739" w:rsidRPr="006B3991">
        <w:t>ig</w:t>
      </w:r>
      <w:r w:rsidR="006B3991">
        <w:t>s</w:t>
      </w:r>
      <w:r w:rsidR="00E72FC9" w:rsidRPr="006B3991">
        <w:t xml:space="preserve">. </w:t>
      </w:r>
      <w:r w:rsidR="005D7AAB" w:rsidRPr="006B3991">
        <w:t>11 y 12</w:t>
      </w:r>
      <w:r w:rsidR="00603DB9" w:rsidRPr="006B3991">
        <w:t>).</w:t>
      </w:r>
      <w:r w:rsidR="00603DB9" w:rsidRPr="0030135C">
        <w:t xml:space="preserve"> </w:t>
      </w:r>
      <w:r w:rsidR="00A81167" w:rsidRPr="0030135C">
        <w:t>Alburquerque está representado poco más arriba</w:t>
      </w:r>
      <w:r w:rsidR="00904487" w:rsidRPr="0030135C">
        <w:t>,</w:t>
      </w:r>
      <w:r w:rsidR="00A81167" w:rsidRPr="0030135C">
        <w:t xml:space="preserve"> retirándose con la caballería</w:t>
      </w:r>
      <w:r w:rsidR="003E4351" w:rsidRPr="0030135C">
        <w:t xml:space="preserve"> en pie</w:t>
      </w:r>
      <w:r w:rsidR="00A81167" w:rsidRPr="0030135C">
        <w:t xml:space="preserve">. </w:t>
      </w:r>
      <w:r w:rsidR="00603DB9" w:rsidRPr="0030135C">
        <w:t>Un</w:t>
      </w:r>
      <w:r w:rsidR="000F3F45" w:rsidRPr="0030135C">
        <w:t xml:space="preserve"> retrato </w:t>
      </w:r>
      <w:r w:rsidR="00327739" w:rsidRPr="0030135C">
        <w:t xml:space="preserve">grabado </w:t>
      </w:r>
      <w:r w:rsidR="00A81167" w:rsidRPr="0030135C">
        <w:t>de Fontana</w:t>
      </w:r>
      <w:r w:rsidR="00576E18" w:rsidRPr="0030135C">
        <w:t>, figurado con armadura, casco y bastón de mando,</w:t>
      </w:r>
      <w:r w:rsidR="00A81167" w:rsidRPr="0030135C">
        <w:t xml:space="preserve"> </w:t>
      </w:r>
      <w:r w:rsidR="00603DB9" w:rsidRPr="0030135C">
        <w:t xml:space="preserve">fue incluido en </w:t>
      </w:r>
      <w:r w:rsidR="00327739" w:rsidRPr="0030135C">
        <w:t xml:space="preserve">el </w:t>
      </w:r>
      <w:r w:rsidR="00327739" w:rsidRPr="0030135C">
        <w:rPr>
          <w:i/>
        </w:rPr>
        <w:t>Theatrum pontificium imperatorum, regum, ducum, principum</w:t>
      </w:r>
      <w:r w:rsidR="00327739" w:rsidRPr="0030135C">
        <w:t xml:space="preserve"> editado </w:t>
      </w:r>
      <w:r w:rsidR="00603DB9" w:rsidRPr="0030135C">
        <w:t xml:space="preserve">por Peter de Jode </w:t>
      </w:r>
      <w:r w:rsidR="00327739" w:rsidRPr="0030135C">
        <w:t>en Amberes en 1651</w:t>
      </w:r>
      <w:r w:rsidR="005D7AAB" w:rsidRPr="0030135C">
        <w:rPr>
          <w:rStyle w:val="Marquenotebasdepage"/>
        </w:rPr>
        <w:footnoteReference w:id="30"/>
      </w:r>
      <w:r w:rsidR="00904487" w:rsidRPr="0030135C">
        <w:t xml:space="preserve"> </w:t>
      </w:r>
      <w:r w:rsidRPr="006B3991">
        <w:t>(</w:t>
      </w:r>
      <w:r w:rsidR="005D7AAB" w:rsidRPr="006B3991">
        <w:t>fig. 13</w:t>
      </w:r>
      <w:r w:rsidRPr="006B3991">
        <w:t>)</w:t>
      </w:r>
      <w:r w:rsidR="00327739" w:rsidRPr="006B3991">
        <w:t>.</w:t>
      </w:r>
      <w:r w:rsidR="00D338EB" w:rsidRPr="0030135C">
        <w:t xml:space="preserve"> </w:t>
      </w:r>
    </w:p>
    <w:p w14:paraId="60DF360C" w14:textId="06412E3B" w:rsidR="00AE4EE0" w:rsidRPr="0030135C" w:rsidRDefault="00781D0F" w:rsidP="0030135C">
      <w:pPr>
        <w:spacing w:line="360" w:lineRule="auto"/>
        <w:jc w:val="both"/>
      </w:pPr>
      <w:r>
        <w:t>La</w:t>
      </w:r>
      <w:r w:rsidR="00BE63C6" w:rsidRPr="0030135C">
        <w:t xml:space="preserve"> </w:t>
      </w:r>
      <w:r w:rsidR="00EC0474" w:rsidRPr="0030135C">
        <w:t xml:space="preserve">participación de </w:t>
      </w:r>
      <w:r w:rsidR="00FB0BCC" w:rsidRPr="0030135C">
        <w:t>Alburquerque</w:t>
      </w:r>
      <w:r w:rsidR="00EC0474" w:rsidRPr="0030135C">
        <w:t xml:space="preserve"> en Rocroi</w:t>
      </w:r>
      <w:r>
        <w:t xml:space="preserve"> fue muy polémica. C</w:t>
      </w:r>
      <w:r w:rsidR="003F1D5C" w:rsidRPr="0030135C">
        <w:t xml:space="preserve">uentan </w:t>
      </w:r>
      <w:r w:rsidR="00EC0474" w:rsidRPr="0030135C">
        <w:t xml:space="preserve">las crónicas </w:t>
      </w:r>
      <w:r w:rsidR="00651DEB">
        <w:t xml:space="preserve">que </w:t>
      </w:r>
      <w:r w:rsidR="003F1D5C" w:rsidRPr="0030135C">
        <w:t>erró</w:t>
      </w:r>
      <w:r w:rsidR="000710FD" w:rsidRPr="0030135C">
        <w:t xml:space="preserve"> Don Francisco de Melo</w:t>
      </w:r>
      <w:r w:rsidR="00FB0BCC" w:rsidRPr="0030135C">
        <w:t xml:space="preserve"> (Estremoz, 1597 –Madrid, 1651)</w:t>
      </w:r>
      <w:r w:rsidR="003F1D5C" w:rsidRPr="0030135C">
        <w:t>, Capitán General de los Estados de Flandes,</w:t>
      </w:r>
      <w:r w:rsidR="000710FD" w:rsidRPr="0030135C">
        <w:t xml:space="preserve"> </w:t>
      </w:r>
      <w:r w:rsidR="003F1D5C" w:rsidRPr="0030135C">
        <w:t xml:space="preserve">en </w:t>
      </w:r>
      <w:r w:rsidR="000710FD" w:rsidRPr="0030135C">
        <w:t>poner</w:t>
      </w:r>
      <w:r w:rsidR="00FB0BCC" w:rsidRPr="0030135C">
        <w:t xml:space="preserve">lo </w:t>
      </w:r>
      <w:r w:rsidR="005C048C" w:rsidRPr="0030135C">
        <w:t>por G</w:t>
      </w:r>
      <w:r w:rsidR="000710FD" w:rsidRPr="0030135C">
        <w:t xml:space="preserve">eneral de </w:t>
      </w:r>
      <w:r w:rsidR="005C048C" w:rsidRPr="0030135C">
        <w:t xml:space="preserve">la </w:t>
      </w:r>
      <w:r w:rsidR="000710FD" w:rsidRPr="0030135C">
        <w:t>caballería</w:t>
      </w:r>
      <w:r w:rsidR="005C048C" w:rsidRPr="0030135C">
        <w:t xml:space="preserve"> de Flandes</w:t>
      </w:r>
      <w:r w:rsidR="007D0272" w:rsidRPr="0030135C">
        <w:t>;</w:t>
      </w:r>
      <w:r w:rsidR="00FB0BCC" w:rsidRPr="0030135C">
        <w:t xml:space="preserve"> </w:t>
      </w:r>
      <w:r w:rsidR="00A81167" w:rsidRPr="0030135C">
        <w:t>pues era uno de los</w:t>
      </w:r>
      <w:r w:rsidR="000710FD" w:rsidRPr="0030135C">
        <w:t xml:space="preserve"> “cabos </w:t>
      </w:r>
      <w:r w:rsidR="00782836" w:rsidRPr="0030135C">
        <w:t>principales</w:t>
      </w:r>
      <w:r w:rsidR="000710FD" w:rsidRPr="0030135C">
        <w:t xml:space="preserve"> que no tenían la experiencia ni la inteligencia que los oficios </w:t>
      </w:r>
      <w:r w:rsidR="008A3C5B" w:rsidRPr="0030135C">
        <w:t>requerían”;</w:t>
      </w:r>
      <w:r w:rsidR="00B70B51" w:rsidRPr="0030135C">
        <w:t xml:space="preserve"> </w:t>
      </w:r>
      <w:r w:rsidR="008A3C5B" w:rsidRPr="0030135C">
        <w:t>insinuando que la razón estaba en que pretendía a su hija (“</w:t>
      </w:r>
      <w:r w:rsidR="00B70B51" w:rsidRPr="0030135C">
        <w:t>dicen trata</w:t>
      </w:r>
      <w:r w:rsidR="00205C00" w:rsidRPr="0030135C">
        <w:t xml:space="preserve"> de casarse con una hija suya”</w:t>
      </w:r>
      <w:r w:rsidR="00205C00" w:rsidRPr="0030135C">
        <w:rPr>
          <w:rStyle w:val="Marquenotebasdepage"/>
        </w:rPr>
        <w:footnoteReference w:id="31"/>
      </w:r>
      <w:r w:rsidR="00B70B51" w:rsidRPr="0030135C">
        <w:t>)</w:t>
      </w:r>
      <w:r w:rsidR="008A3C5B" w:rsidRPr="0030135C">
        <w:t>.</w:t>
      </w:r>
      <w:r w:rsidR="00B70B51" w:rsidRPr="0030135C">
        <w:t xml:space="preserve"> </w:t>
      </w:r>
      <w:r w:rsidR="00AB540D" w:rsidRPr="0030135C">
        <w:t>Pero el propio Alburquerq</w:t>
      </w:r>
      <w:r w:rsidR="008D2A02" w:rsidRPr="0030135C">
        <w:t xml:space="preserve">ue </w:t>
      </w:r>
      <w:r w:rsidR="00A83937" w:rsidRPr="0030135C">
        <w:t xml:space="preserve">se defiende, y </w:t>
      </w:r>
      <w:r w:rsidR="008D2A02" w:rsidRPr="0030135C">
        <w:t>afirma</w:t>
      </w:r>
      <w:r w:rsidR="00AA2BCB" w:rsidRPr="0030135C">
        <w:t xml:space="preserve"> que sus </w:t>
      </w:r>
      <w:r w:rsidR="00AB540D" w:rsidRPr="0030135C">
        <w:t>puestos se los gan</w:t>
      </w:r>
      <w:r w:rsidR="00E75A2B" w:rsidRPr="0030135C">
        <w:t>ó “subiendo sus escalones”</w:t>
      </w:r>
      <w:r w:rsidR="00AB540D" w:rsidRPr="0030135C">
        <w:t xml:space="preserve"> </w:t>
      </w:r>
      <w:r w:rsidR="00AA2BCB" w:rsidRPr="0030135C">
        <w:t>y que cuando lo no</w:t>
      </w:r>
      <w:r w:rsidR="00174248" w:rsidRPr="0030135C">
        <w:t>mbraron G</w:t>
      </w:r>
      <w:r w:rsidR="00E75A2B" w:rsidRPr="0030135C">
        <w:t xml:space="preserve">eneral de la caballería de Flandes, lo había sido antes de la de </w:t>
      </w:r>
      <w:r w:rsidR="00AA2BCB" w:rsidRPr="0030135C">
        <w:t>Milán</w:t>
      </w:r>
      <w:r w:rsidR="00205C00" w:rsidRPr="0030135C">
        <w:rPr>
          <w:rStyle w:val="Marquenotebasdepage"/>
        </w:rPr>
        <w:footnoteReference w:id="32"/>
      </w:r>
      <w:r w:rsidR="00E75A2B" w:rsidRPr="0030135C">
        <w:t xml:space="preserve">. Las </w:t>
      </w:r>
      <w:r w:rsidR="00993087" w:rsidRPr="0030135C">
        <w:t>fuentes indican que Alburquerque estaba al mando de una compañía que había costeado él mismo</w:t>
      </w:r>
      <w:r w:rsidR="00A83937" w:rsidRPr="0030135C">
        <w:rPr>
          <w:rStyle w:val="Marquenotebasdepage"/>
        </w:rPr>
        <w:footnoteReference w:id="33"/>
      </w:r>
      <w:r w:rsidR="006C2B32" w:rsidRPr="0030135C">
        <w:t xml:space="preserve">, pero también que </w:t>
      </w:r>
      <w:r w:rsidR="00004C61" w:rsidRPr="0030135C">
        <w:t xml:space="preserve">había sido decisivo </w:t>
      </w:r>
      <w:r w:rsidR="001108EE" w:rsidRPr="0030135C">
        <w:t xml:space="preserve">el apoyo del </w:t>
      </w:r>
      <w:r w:rsidR="00AE4EE0" w:rsidRPr="0030135C">
        <w:t xml:space="preserve">conde-duque </w:t>
      </w:r>
      <w:r w:rsidR="006C2B32" w:rsidRPr="0030135C">
        <w:t>de Olivares</w:t>
      </w:r>
      <w:r w:rsidR="001108EE" w:rsidRPr="0030135C">
        <w:t>,</w:t>
      </w:r>
      <w:r w:rsidR="00AE4EE0" w:rsidRPr="0030135C">
        <w:t xml:space="preserve"> </w:t>
      </w:r>
      <w:r w:rsidR="00004C61" w:rsidRPr="0030135C">
        <w:t>quien insistía desde 1640</w:t>
      </w:r>
      <w:r w:rsidR="000338BA" w:rsidRPr="0030135C">
        <w:t xml:space="preserve"> en</w:t>
      </w:r>
      <w:r w:rsidR="001108EE" w:rsidRPr="0030135C">
        <w:t xml:space="preserve"> que “el duque de Alburquerque ha dado muestras de valor personal, y es  mozo, y parece </w:t>
      </w:r>
      <w:r w:rsidR="00AE4EE0" w:rsidRPr="0030135C">
        <w:t>de buen aliento</w:t>
      </w:r>
      <w:r w:rsidR="00FE62CB" w:rsidRPr="0030135C">
        <w:t>”;</w:t>
      </w:r>
      <w:r w:rsidR="007D0272" w:rsidRPr="0030135C">
        <w:t xml:space="preserve"> alegando </w:t>
      </w:r>
      <w:r w:rsidR="008A1283" w:rsidRPr="0030135C">
        <w:t xml:space="preserve">que su valor se vio </w:t>
      </w:r>
      <w:r w:rsidR="000338BA" w:rsidRPr="0030135C">
        <w:t>en el</w:t>
      </w:r>
      <w:r w:rsidR="001108EE" w:rsidRPr="0030135C">
        <w:t xml:space="preserve"> sitio de Fuenterrabía</w:t>
      </w:r>
      <w:r w:rsidR="007D0272" w:rsidRPr="0030135C">
        <w:t>,</w:t>
      </w:r>
      <w:r w:rsidR="001108EE" w:rsidRPr="0030135C">
        <w:t xml:space="preserve"> por lo que se </w:t>
      </w:r>
      <w:r w:rsidR="000338BA" w:rsidRPr="0030135C">
        <w:t xml:space="preserve">le </w:t>
      </w:r>
      <w:r w:rsidR="001108EE" w:rsidRPr="0030135C">
        <w:t xml:space="preserve">podría </w:t>
      </w:r>
      <w:r w:rsidR="000338BA" w:rsidRPr="0030135C">
        <w:t>“</w:t>
      </w:r>
      <w:r w:rsidR="001108EE" w:rsidRPr="0030135C">
        <w:t xml:space="preserve">enviar á Flandes, y que sirva </w:t>
      </w:r>
      <w:r w:rsidR="008A1283" w:rsidRPr="0030135C">
        <w:t>con dos compañías de caballos, y después mudarle a la infantería”</w:t>
      </w:r>
      <w:r w:rsidR="00AE4EE0" w:rsidRPr="0030135C">
        <w:rPr>
          <w:rStyle w:val="Marquenotebasdepage"/>
          <w:vertAlign w:val="baseline"/>
        </w:rPr>
        <w:t xml:space="preserve"> </w:t>
      </w:r>
      <w:r w:rsidR="006C2B32" w:rsidRPr="0030135C">
        <w:rPr>
          <w:rStyle w:val="Marquenotebasdepage"/>
        </w:rPr>
        <w:footnoteReference w:id="34"/>
      </w:r>
      <w:r w:rsidR="006C2B32" w:rsidRPr="0030135C">
        <w:t xml:space="preserve">. </w:t>
      </w:r>
      <w:r w:rsidR="00BE63C6" w:rsidRPr="0030135C">
        <w:t xml:space="preserve"> </w:t>
      </w:r>
    </w:p>
    <w:p w14:paraId="69A49962" w14:textId="41B7AA17" w:rsidR="00DF17E1" w:rsidRPr="0030135C" w:rsidRDefault="00121CFF" w:rsidP="0030135C">
      <w:pPr>
        <w:spacing w:line="360" w:lineRule="auto"/>
        <w:jc w:val="both"/>
        <w:rPr>
          <w:rFonts w:eastAsia="Times New Roman"/>
        </w:rPr>
      </w:pPr>
      <w:r w:rsidRPr="0030135C">
        <w:rPr>
          <w:rFonts w:eastAsia="Times New Roman"/>
        </w:rPr>
        <w:t xml:space="preserve">En la </w:t>
      </w:r>
      <w:r w:rsidR="00641846" w:rsidRPr="0030135C">
        <w:rPr>
          <w:rFonts w:eastAsia="Times New Roman"/>
          <w:i/>
        </w:rPr>
        <w:t>Relación</w:t>
      </w:r>
      <w:r w:rsidR="00BE63C6" w:rsidRPr="0030135C">
        <w:rPr>
          <w:rFonts w:eastAsia="Times New Roman"/>
        </w:rPr>
        <w:t xml:space="preserve"> del Secretario de los A</w:t>
      </w:r>
      <w:r w:rsidRPr="0030135C">
        <w:rPr>
          <w:rFonts w:eastAsia="Times New Roman"/>
        </w:rPr>
        <w:t xml:space="preserve">visos secretos de Guerra Don Juan Antonio Vincart, se da </w:t>
      </w:r>
      <w:r w:rsidR="005F7FD5" w:rsidRPr="0030135C">
        <w:rPr>
          <w:rFonts w:eastAsia="Times New Roman"/>
        </w:rPr>
        <w:t xml:space="preserve">detallada </w:t>
      </w:r>
      <w:r w:rsidRPr="0030135C">
        <w:rPr>
          <w:rFonts w:eastAsia="Times New Roman"/>
        </w:rPr>
        <w:t>cuenta al rey de</w:t>
      </w:r>
      <w:r w:rsidR="000C0889" w:rsidRPr="0030135C">
        <w:rPr>
          <w:rFonts w:eastAsia="Times New Roman"/>
        </w:rPr>
        <w:t xml:space="preserve"> los sucesos de armas de este añ</w:t>
      </w:r>
      <w:r w:rsidRPr="0030135C">
        <w:rPr>
          <w:rFonts w:eastAsia="Times New Roman"/>
        </w:rPr>
        <w:t>o de 1643</w:t>
      </w:r>
      <w:r w:rsidR="000338BA" w:rsidRPr="0030135C">
        <w:rPr>
          <w:rStyle w:val="Marquenotebasdepage"/>
          <w:rFonts w:eastAsia="Times New Roman"/>
        </w:rPr>
        <w:footnoteReference w:id="35"/>
      </w:r>
      <w:r w:rsidR="00677684" w:rsidRPr="0030135C">
        <w:rPr>
          <w:rFonts w:eastAsia="Times New Roman"/>
        </w:rPr>
        <w:t xml:space="preserve">. </w:t>
      </w:r>
      <w:r w:rsidR="007603C7" w:rsidRPr="0030135C">
        <w:rPr>
          <w:rFonts w:eastAsia="Times New Roman"/>
        </w:rPr>
        <w:t xml:space="preserve">Melo </w:t>
      </w:r>
      <w:r w:rsidR="000338BA" w:rsidRPr="0030135C">
        <w:rPr>
          <w:rFonts w:eastAsia="Times New Roman"/>
        </w:rPr>
        <w:t>había dado</w:t>
      </w:r>
      <w:r w:rsidR="00875E6E" w:rsidRPr="0030135C">
        <w:rPr>
          <w:rFonts w:eastAsia="Times New Roman"/>
        </w:rPr>
        <w:t xml:space="preserve"> dineros para remontar la caballería, para </w:t>
      </w:r>
      <w:r w:rsidR="000C0889" w:rsidRPr="0030135C">
        <w:rPr>
          <w:rFonts w:eastAsia="Times New Roman"/>
        </w:rPr>
        <w:t>reclutar</w:t>
      </w:r>
      <w:r w:rsidR="00875E6E" w:rsidRPr="0030135C">
        <w:rPr>
          <w:rFonts w:eastAsia="Times New Roman"/>
        </w:rPr>
        <w:t xml:space="preserve"> </w:t>
      </w:r>
      <w:r w:rsidR="002E50DC" w:rsidRPr="0030135C">
        <w:rPr>
          <w:rFonts w:eastAsia="Times New Roman"/>
        </w:rPr>
        <w:t>a M</w:t>
      </w:r>
      <w:r w:rsidR="00781D0F">
        <w:rPr>
          <w:rFonts w:eastAsia="Times New Roman"/>
        </w:rPr>
        <w:t xml:space="preserve">aestres de Campo y Coroneles en vistas de </w:t>
      </w:r>
      <w:r w:rsidR="000C0889" w:rsidRPr="0030135C">
        <w:rPr>
          <w:rFonts w:eastAsia="Times New Roman"/>
        </w:rPr>
        <w:t>la campa</w:t>
      </w:r>
      <w:r w:rsidR="008B7AB3" w:rsidRPr="0030135C">
        <w:rPr>
          <w:rFonts w:eastAsia="Times New Roman"/>
        </w:rPr>
        <w:t>ñ</w:t>
      </w:r>
      <w:r w:rsidR="00875E6E" w:rsidRPr="0030135C">
        <w:rPr>
          <w:rFonts w:eastAsia="Times New Roman"/>
        </w:rPr>
        <w:t>a venidera</w:t>
      </w:r>
      <w:r w:rsidR="007A3481" w:rsidRPr="0030135C">
        <w:rPr>
          <w:rFonts w:eastAsia="Times New Roman"/>
        </w:rPr>
        <w:t>. Ordenó Melo diferentes plazas de a</w:t>
      </w:r>
      <w:r w:rsidR="00AA2F69" w:rsidRPr="0030135C">
        <w:rPr>
          <w:rFonts w:eastAsia="Times New Roman"/>
        </w:rPr>
        <w:t>rmas, una en el país de Artois</w:t>
      </w:r>
      <w:r w:rsidR="007A3481" w:rsidRPr="0030135C">
        <w:rPr>
          <w:rFonts w:eastAsia="Times New Roman"/>
        </w:rPr>
        <w:t xml:space="preserve">, donde </w:t>
      </w:r>
      <w:r w:rsidR="008B7AB3" w:rsidRPr="0030135C">
        <w:rPr>
          <w:rFonts w:eastAsia="Times New Roman"/>
        </w:rPr>
        <w:t>mandaría</w:t>
      </w:r>
      <w:r w:rsidR="000338BA" w:rsidRPr="0030135C">
        <w:rPr>
          <w:rFonts w:eastAsia="Times New Roman"/>
        </w:rPr>
        <w:t xml:space="preserve"> el duque de Alburquerque</w:t>
      </w:r>
      <w:r w:rsidR="007A3481" w:rsidRPr="0030135C">
        <w:rPr>
          <w:rFonts w:eastAsia="Times New Roman"/>
        </w:rPr>
        <w:t xml:space="preserve">; otra en Henao, donde </w:t>
      </w:r>
      <w:r w:rsidR="008B7AB3" w:rsidRPr="0030135C">
        <w:rPr>
          <w:rFonts w:eastAsia="Times New Roman"/>
        </w:rPr>
        <w:t>mandaría</w:t>
      </w:r>
      <w:r w:rsidR="00AA2F69" w:rsidRPr="0030135C">
        <w:rPr>
          <w:rFonts w:eastAsia="Times New Roman"/>
        </w:rPr>
        <w:t xml:space="preserve"> </w:t>
      </w:r>
      <w:r w:rsidR="00BE63C6" w:rsidRPr="0030135C">
        <w:rPr>
          <w:rFonts w:eastAsia="Times New Roman"/>
        </w:rPr>
        <w:t>C</w:t>
      </w:r>
      <w:r w:rsidR="00732B6B" w:rsidRPr="0030135C">
        <w:rPr>
          <w:rFonts w:eastAsia="Times New Roman"/>
        </w:rPr>
        <w:t>harles Alber</w:t>
      </w:r>
      <w:r w:rsidR="00FE4B5C">
        <w:rPr>
          <w:rFonts w:eastAsia="Times New Roman"/>
        </w:rPr>
        <w:t>t de Longueval</w:t>
      </w:r>
      <w:r w:rsidR="00732B6B" w:rsidRPr="0030135C">
        <w:rPr>
          <w:rFonts w:eastAsia="Times New Roman"/>
        </w:rPr>
        <w:t xml:space="preserve"> III conde</w:t>
      </w:r>
      <w:r w:rsidR="00BE63C6" w:rsidRPr="0030135C">
        <w:rPr>
          <w:rFonts w:eastAsia="Times New Roman"/>
        </w:rPr>
        <w:t xml:space="preserve"> de Buc</w:t>
      </w:r>
      <w:r w:rsidR="00AA2F69" w:rsidRPr="0030135C">
        <w:rPr>
          <w:rFonts w:eastAsia="Times New Roman"/>
        </w:rPr>
        <w:t>quoy</w:t>
      </w:r>
      <w:r w:rsidR="00732B6B" w:rsidRPr="0030135C">
        <w:rPr>
          <w:rFonts w:eastAsia="Times New Roman"/>
        </w:rPr>
        <w:t xml:space="preserve"> (Artois, 1607 – Mons, 1663)</w:t>
      </w:r>
      <w:r w:rsidR="00AA2F69" w:rsidRPr="0030135C">
        <w:rPr>
          <w:rFonts w:eastAsia="Times New Roman"/>
        </w:rPr>
        <w:t>;</w:t>
      </w:r>
      <w:r w:rsidR="005910E2" w:rsidRPr="0030135C">
        <w:rPr>
          <w:rFonts w:eastAsia="Times New Roman"/>
        </w:rPr>
        <w:t xml:space="preserve"> el conde Ernst</w:t>
      </w:r>
      <w:r w:rsidR="00E2014D" w:rsidRPr="0030135C">
        <w:rPr>
          <w:rFonts w:eastAsia="Times New Roman"/>
        </w:rPr>
        <w:t xml:space="preserve"> de Isenburg</w:t>
      </w:r>
      <w:r w:rsidR="00AA2F69" w:rsidRPr="0030135C">
        <w:rPr>
          <w:rFonts w:eastAsia="Times New Roman"/>
        </w:rPr>
        <w:t xml:space="preserve"> </w:t>
      </w:r>
      <w:r w:rsidR="00732B6B" w:rsidRPr="0030135C">
        <w:rPr>
          <w:rFonts w:eastAsia="Times New Roman"/>
        </w:rPr>
        <w:t xml:space="preserve">(Renania, 1584 – Bruselas, 1664) </w:t>
      </w:r>
      <w:r w:rsidR="005910E2" w:rsidRPr="0030135C">
        <w:rPr>
          <w:rFonts w:eastAsia="Times New Roman"/>
        </w:rPr>
        <w:t xml:space="preserve">entre los ríos Sambre y </w:t>
      </w:r>
      <w:r w:rsidR="00AA2F69" w:rsidRPr="0030135C">
        <w:rPr>
          <w:rFonts w:eastAsia="Times New Roman"/>
        </w:rPr>
        <w:t>Mosa;</w:t>
      </w:r>
      <w:r w:rsidR="007A3481" w:rsidRPr="0030135C">
        <w:rPr>
          <w:rFonts w:eastAsia="Times New Roman"/>
        </w:rPr>
        <w:t xml:space="preserve"> en Luxemburgo el </w:t>
      </w:r>
      <w:r w:rsidR="008B7AB3" w:rsidRPr="0030135C">
        <w:rPr>
          <w:rFonts w:eastAsia="Times New Roman"/>
        </w:rPr>
        <w:t>barón</w:t>
      </w:r>
      <w:r w:rsidR="00AA2F69" w:rsidRPr="0030135C">
        <w:rPr>
          <w:rFonts w:eastAsia="Times New Roman"/>
        </w:rPr>
        <w:t xml:space="preserve"> de </w:t>
      </w:r>
      <w:r w:rsidR="00BE63C6" w:rsidRPr="0030135C">
        <w:rPr>
          <w:rFonts w:eastAsia="Times New Roman"/>
        </w:rPr>
        <w:t>Jean</w:t>
      </w:r>
      <w:r w:rsidR="00830440" w:rsidRPr="0030135C">
        <w:rPr>
          <w:rFonts w:eastAsia="Times New Roman"/>
        </w:rPr>
        <w:t xml:space="preserve"> Georges</w:t>
      </w:r>
      <w:r w:rsidR="00BE63C6" w:rsidRPr="0030135C">
        <w:rPr>
          <w:rFonts w:eastAsia="Times New Roman"/>
        </w:rPr>
        <w:t xml:space="preserve"> de </w:t>
      </w:r>
      <w:r w:rsidR="00AA2F69" w:rsidRPr="0030135C">
        <w:rPr>
          <w:rFonts w:eastAsia="Times New Roman"/>
        </w:rPr>
        <w:t>Bec</w:t>
      </w:r>
      <w:r w:rsidR="00830440" w:rsidRPr="0030135C">
        <w:rPr>
          <w:rFonts w:eastAsia="Times New Roman"/>
        </w:rPr>
        <w:t>k</w:t>
      </w:r>
      <w:r w:rsidR="00732B6B" w:rsidRPr="0030135C">
        <w:rPr>
          <w:rFonts w:eastAsia="Times New Roman"/>
        </w:rPr>
        <w:t xml:space="preserve"> y</w:t>
      </w:r>
      <w:r w:rsidR="00830440" w:rsidRPr="0030135C">
        <w:rPr>
          <w:rFonts w:eastAsia="Times New Roman"/>
        </w:rPr>
        <w:t xml:space="preserve"> Capelle (Pfaffenthal, 1588 – Arras, 1648)</w:t>
      </w:r>
      <w:r w:rsidR="00AA2F69" w:rsidRPr="0030135C">
        <w:rPr>
          <w:rFonts w:eastAsia="Times New Roman"/>
        </w:rPr>
        <w:t>;</w:t>
      </w:r>
      <w:r w:rsidR="007A3481" w:rsidRPr="0030135C">
        <w:rPr>
          <w:rFonts w:eastAsia="Times New Roman"/>
        </w:rPr>
        <w:t xml:space="preserve"> y en Lens </w:t>
      </w:r>
      <w:r w:rsidR="001627A1" w:rsidRPr="0030135C">
        <w:rPr>
          <w:rFonts w:eastAsia="Times New Roman"/>
        </w:rPr>
        <w:t>Claude Lamoral</w:t>
      </w:r>
      <w:r w:rsidR="007A3481" w:rsidRPr="0030135C">
        <w:rPr>
          <w:rFonts w:eastAsia="Times New Roman"/>
        </w:rPr>
        <w:t xml:space="preserve"> </w:t>
      </w:r>
      <w:r w:rsidR="00830440" w:rsidRPr="0030135C">
        <w:rPr>
          <w:rFonts w:eastAsia="Times New Roman"/>
        </w:rPr>
        <w:t>I</w:t>
      </w:r>
      <w:r w:rsidR="00830440" w:rsidRPr="0030135C">
        <w:rPr>
          <w:rFonts w:eastAsia="Times New Roman"/>
          <w:vertAlign w:val="superscript"/>
        </w:rPr>
        <w:t>er</w:t>
      </w:r>
      <w:r w:rsidR="00830440" w:rsidRPr="0030135C">
        <w:rPr>
          <w:rFonts w:eastAsia="Times New Roman"/>
        </w:rPr>
        <w:t xml:space="preserve"> </w:t>
      </w:r>
      <w:r w:rsidR="007A3481" w:rsidRPr="0030135C">
        <w:rPr>
          <w:rFonts w:eastAsia="Times New Roman"/>
        </w:rPr>
        <w:t>príncipe de Ligne</w:t>
      </w:r>
      <w:r w:rsidR="00830440" w:rsidRPr="0030135C">
        <w:rPr>
          <w:rFonts w:eastAsia="Times New Roman"/>
        </w:rPr>
        <w:t xml:space="preserve"> (Beloeil, 1618 – Madrid, 1679)</w:t>
      </w:r>
      <w:r w:rsidR="007A3481" w:rsidRPr="0030135C">
        <w:rPr>
          <w:rFonts w:eastAsia="Times New Roman"/>
        </w:rPr>
        <w:t xml:space="preserve">. </w:t>
      </w:r>
      <w:r w:rsidR="00C86972" w:rsidRPr="0030135C">
        <w:rPr>
          <w:rFonts w:eastAsia="Times New Roman"/>
        </w:rPr>
        <w:t>Melo dio orden de tener las</w:t>
      </w:r>
      <w:r w:rsidR="007A3481" w:rsidRPr="0030135C">
        <w:rPr>
          <w:rFonts w:eastAsia="Times New Roman"/>
        </w:rPr>
        <w:t xml:space="preserve"> </w:t>
      </w:r>
      <w:r w:rsidR="008B7AB3" w:rsidRPr="0030135C">
        <w:rPr>
          <w:rFonts w:eastAsia="Times New Roman"/>
        </w:rPr>
        <w:t>compañías</w:t>
      </w:r>
      <w:r w:rsidR="00781D0F">
        <w:rPr>
          <w:rFonts w:eastAsia="Times New Roman"/>
        </w:rPr>
        <w:t xml:space="preserve"> </w:t>
      </w:r>
      <w:r w:rsidR="007A3481" w:rsidRPr="0030135C">
        <w:rPr>
          <w:rFonts w:eastAsia="Times New Roman"/>
        </w:rPr>
        <w:t>ordenadas para el 25 de abril</w:t>
      </w:r>
      <w:r w:rsidR="00AA2F69" w:rsidRPr="0030135C">
        <w:rPr>
          <w:rStyle w:val="Marquenotebasdepage"/>
          <w:rFonts w:eastAsia="Times New Roman"/>
        </w:rPr>
        <w:footnoteReference w:id="36"/>
      </w:r>
      <w:r w:rsidR="00A92C7F" w:rsidRPr="0030135C">
        <w:rPr>
          <w:rFonts w:eastAsia="Times New Roman"/>
        </w:rPr>
        <w:t xml:space="preserve">. </w:t>
      </w:r>
      <w:r w:rsidR="007A3481" w:rsidRPr="0030135C">
        <w:rPr>
          <w:rFonts w:eastAsia="Times New Roman"/>
        </w:rPr>
        <w:t xml:space="preserve">Se enfrentaban no </w:t>
      </w:r>
      <w:r w:rsidR="008B7AB3" w:rsidRPr="0030135C">
        <w:rPr>
          <w:rFonts w:eastAsia="Times New Roman"/>
        </w:rPr>
        <w:t>só</w:t>
      </w:r>
      <w:r w:rsidR="007A3481" w:rsidRPr="0030135C">
        <w:rPr>
          <w:rFonts w:eastAsia="Times New Roman"/>
        </w:rPr>
        <w:t xml:space="preserve">lo a los franceses dirigidos por </w:t>
      </w:r>
      <w:r w:rsidR="00295E41" w:rsidRPr="0030135C">
        <w:rPr>
          <w:rFonts w:eastAsia="Times New Roman"/>
        </w:rPr>
        <w:t>el Gran Condé -</w:t>
      </w:r>
      <w:r w:rsidR="00A92C7F" w:rsidRPr="0030135C">
        <w:rPr>
          <w:rFonts w:eastAsia="Times New Roman"/>
        </w:rPr>
        <w:t xml:space="preserve">Luis II de </w:t>
      </w:r>
      <w:r w:rsidR="00295E41" w:rsidRPr="0030135C">
        <w:rPr>
          <w:rFonts w:eastAsia="Times New Roman"/>
        </w:rPr>
        <w:t xml:space="preserve">Borbón </w:t>
      </w:r>
      <w:r w:rsidR="007A3481" w:rsidRPr="0030135C">
        <w:rPr>
          <w:rFonts w:eastAsia="Times New Roman"/>
        </w:rPr>
        <w:t>duque de Enghien</w:t>
      </w:r>
      <w:r w:rsidR="00295E41" w:rsidRPr="0030135C">
        <w:rPr>
          <w:rFonts w:eastAsia="Times New Roman"/>
        </w:rPr>
        <w:t>-</w:t>
      </w:r>
      <w:r w:rsidR="007A3481" w:rsidRPr="0030135C">
        <w:rPr>
          <w:rFonts w:eastAsia="Times New Roman"/>
        </w:rPr>
        <w:t>, sino también a los rebeldes holandese</w:t>
      </w:r>
      <w:r w:rsidR="002E50DC" w:rsidRPr="0030135C">
        <w:rPr>
          <w:rFonts w:eastAsia="Times New Roman"/>
        </w:rPr>
        <w:t xml:space="preserve">s. La estrategia pensada por </w:t>
      </w:r>
      <w:r w:rsidR="007A3481" w:rsidRPr="0030135C">
        <w:rPr>
          <w:rFonts w:eastAsia="Times New Roman"/>
        </w:rPr>
        <w:t xml:space="preserve">Melo </w:t>
      </w:r>
      <w:r w:rsidR="00E85978" w:rsidRPr="0030135C">
        <w:rPr>
          <w:rFonts w:eastAsia="Times New Roman"/>
        </w:rPr>
        <w:t>consistía</w:t>
      </w:r>
      <w:r w:rsidR="007A3481" w:rsidRPr="0030135C">
        <w:rPr>
          <w:rFonts w:eastAsia="Times New Roman"/>
        </w:rPr>
        <w:t xml:space="preserve"> en atacar primero y pillarlos por sorpresa. </w:t>
      </w:r>
      <w:r w:rsidR="001307AC" w:rsidRPr="0030135C">
        <w:rPr>
          <w:rFonts w:eastAsia="Times New Roman"/>
        </w:rPr>
        <w:t>Fontana debía enfrentarse contra el ejército de Francia, y Andrea Cantelmo, al mando del ejército de Brabante, contra el de Holanda</w:t>
      </w:r>
      <w:r w:rsidR="001307AC" w:rsidRPr="0030135C">
        <w:rPr>
          <w:rStyle w:val="Marquenotebasdepage"/>
          <w:rFonts w:eastAsia="Times New Roman"/>
        </w:rPr>
        <w:footnoteReference w:id="37"/>
      </w:r>
      <w:r w:rsidR="001307AC" w:rsidRPr="0030135C">
        <w:rPr>
          <w:rFonts w:eastAsia="Times New Roman"/>
        </w:rPr>
        <w:t xml:space="preserve">. </w:t>
      </w:r>
    </w:p>
    <w:p w14:paraId="5CDB122B" w14:textId="67B94F4A" w:rsidR="005D052E" w:rsidRPr="0030135C" w:rsidRDefault="007A3481" w:rsidP="0030135C">
      <w:pPr>
        <w:spacing w:line="360" w:lineRule="auto"/>
        <w:jc w:val="both"/>
        <w:rPr>
          <w:rFonts w:eastAsia="Times New Roman"/>
        </w:rPr>
      </w:pPr>
      <w:r w:rsidRPr="0030135C">
        <w:rPr>
          <w:rFonts w:eastAsia="Times New Roman"/>
        </w:rPr>
        <w:t>Antes de salir de Bruselas el 15 de abril, Melo declaró a Alburquerque General de la caballería de los Estados de Flandes</w:t>
      </w:r>
      <w:r w:rsidR="00AA2F69" w:rsidRPr="0030135C">
        <w:rPr>
          <w:rStyle w:val="Marquenotebasdepage"/>
          <w:rFonts w:eastAsia="Times New Roman"/>
        </w:rPr>
        <w:footnoteReference w:id="38"/>
      </w:r>
      <w:r w:rsidR="00C626D8" w:rsidRPr="0030135C">
        <w:rPr>
          <w:rFonts w:eastAsia="Times New Roman"/>
        </w:rPr>
        <w:t xml:space="preserve">, </w:t>
      </w:r>
      <w:r w:rsidR="001307AC" w:rsidRPr="0030135C">
        <w:rPr>
          <w:rFonts w:eastAsia="Times New Roman"/>
        </w:rPr>
        <w:t xml:space="preserve">retirando de este puesto a </w:t>
      </w:r>
      <w:r w:rsidR="00933873" w:rsidRPr="0030135C">
        <w:rPr>
          <w:rFonts w:eastAsia="Times New Roman"/>
        </w:rPr>
        <w:t>Bucquoy</w:t>
      </w:r>
      <w:r w:rsidR="001307AC" w:rsidRPr="0030135C">
        <w:rPr>
          <w:rFonts w:eastAsia="Times New Roman"/>
        </w:rPr>
        <w:t>, una medida inexplicable</w:t>
      </w:r>
      <w:r w:rsidR="006F687E" w:rsidRPr="0030135C">
        <w:rPr>
          <w:rStyle w:val="Marquenotebasdepage"/>
          <w:rFonts w:eastAsia="Times New Roman"/>
        </w:rPr>
        <w:footnoteReference w:id="39"/>
      </w:r>
      <w:r w:rsidR="00933873" w:rsidRPr="0030135C">
        <w:rPr>
          <w:rFonts w:eastAsia="Times New Roman"/>
        </w:rPr>
        <w:t xml:space="preserve"> que habría avivado el desánimo de las tropas valonas</w:t>
      </w:r>
      <w:r w:rsidR="003E7276" w:rsidRPr="0030135C">
        <w:rPr>
          <w:rStyle w:val="Marquenotebasdepage"/>
          <w:rFonts w:eastAsia="Times New Roman"/>
        </w:rPr>
        <w:footnoteReference w:id="40"/>
      </w:r>
      <w:r w:rsidR="00C626D8" w:rsidRPr="0030135C">
        <w:rPr>
          <w:rFonts w:eastAsia="Times New Roman"/>
        </w:rPr>
        <w:t xml:space="preserve">. </w:t>
      </w:r>
      <w:r w:rsidR="00D87E0E" w:rsidRPr="0030135C">
        <w:rPr>
          <w:rFonts w:eastAsia="Times New Roman"/>
        </w:rPr>
        <w:t>Que Bucquoy era “el caballero del país mas bi</w:t>
      </w:r>
      <w:r w:rsidR="005D052E" w:rsidRPr="0030135C">
        <w:rPr>
          <w:rFonts w:eastAsia="Times New Roman"/>
        </w:rPr>
        <w:t>en visto del pueblo” se comenta</w:t>
      </w:r>
      <w:r w:rsidR="00D87E0E" w:rsidRPr="0030135C">
        <w:rPr>
          <w:rFonts w:eastAsia="Times New Roman"/>
        </w:rPr>
        <w:t xml:space="preserve"> en</w:t>
      </w:r>
      <w:r w:rsidR="00C478E4" w:rsidRPr="0030135C">
        <w:rPr>
          <w:rFonts w:eastAsia="Times New Roman"/>
        </w:rPr>
        <w:t xml:space="preserve"> carta </w:t>
      </w:r>
      <w:r w:rsidR="00DF17E1" w:rsidRPr="0030135C">
        <w:rPr>
          <w:rFonts w:eastAsia="Times New Roman"/>
        </w:rPr>
        <w:t>d</w:t>
      </w:r>
      <w:r w:rsidR="00C478E4" w:rsidRPr="0030135C">
        <w:rPr>
          <w:rFonts w:eastAsia="Times New Roman"/>
        </w:rPr>
        <w:t>el</w:t>
      </w:r>
      <w:r w:rsidR="00B87886" w:rsidRPr="0030135C">
        <w:rPr>
          <w:rFonts w:eastAsia="Times New Roman"/>
        </w:rPr>
        <w:t xml:space="preserve"> </w:t>
      </w:r>
      <w:r w:rsidR="00EC7A6C" w:rsidRPr="0030135C">
        <w:rPr>
          <w:rFonts w:eastAsia="Times New Roman"/>
        </w:rPr>
        <w:t>S</w:t>
      </w:r>
      <w:r w:rsidR="00C478E4" w:rsidRPr="0030135C">
        <w:rPr>
          <w:rFonts w:eastAsia="Times New Roman"/>
        </w:rPr>
        <w:t>ecretario de Estado y Guerra en Flandes -</w:t>
      </w:r>
      <w:r w:rsidR="00B87886" w:rsidRPr="0030135C">
        <w:rPr>
          <w:rFonts w:eastAsia="Times New Roman"/>
        </w:rPr>
        <w:t>Francisco de Galarre</w:t>
      </w:r>
      <w:r w:rsidR="0026746B">
        <w:rPr>
          <w:rFonts w:eastAsia="Times New Roman"/>
        </w:rPr>
        <w:t>t</w:t>
      </w:r>
      <w:r w:rsidR="00B87886" w:rsidRPr="0030135C">
        <w:rPr>
          <w:rFonts w:eastAsia="Times New Roman"/>
        </w:rPr>
        <w:t>ta</w:t>
      </w:r>
      <w:r w:rsidR="00D87E0E" w:rsidRPr="0030135C">
        <w:rPr>
          <w:rFonts w:eastAsia="Times New Roman"/>
        </w:rPr>
        <w:t xml:space="preserve"> (Vitoria, 1602-1659)</w:t>
      </w:r>
      <w:r w:rsidR="00075041" w:rsidRPr="0030135C">
        <w:rPr>
          <w:rFonts w:eastAsia="Times New Roman"/>
        </w:rPr>
        <w:t xml:space="preserve">. </w:t>
      </w:r>
      <w:r w:rsidR="005D052E" w:rsidRPr="0030135C">
        <w:rPr>
          <w:rFonts w:eastAsia="Times New Roman"/>
        </w:rPr>
        <w:t xml:space="preserve">Un grabado de Bucquoy con la inscripción “Charles Wautier pinxcit” </w:t>
      </w:r>
      <w:r w:rsidR="005D052E" w:rsidRPr="006B3991">
        <w:rPr>
          <w:rFonts w:eastAsia="Times New Roman"/>
        </w:rPr>
        <w:t>(</w:t>
      </w:r>
      <w:r w:rsidR="005D7AAB" w:rsidRPr="006B3991">
        <w:rPr>
          <w:rFonts w:eastAsia="Times New Roman"/>
        </w:rPr>
        <w:t>fig. 14</w:t>
      </w:r>
      <w:r w:rsidR="005D052E" w:rsidRPr="006B3991">
        <w:rPr>
          <w:rFonts w:eastAsia="Times New Roman"/>
        </w:rPr>
        <w:t>)</w:t>
      </w:r>
      <w:r w:rsidR="005D052E" w:rsidRPr="006B3991">
        <w:rPr>
          <w:rStyle w:val="Marquenotebasdepage"/>
          <w:rFonts w:eastAsia="Times New Roman"/>
        </w:rPr>
        <w:footnoteReference w:id="41"/>
      </w:r>
      <w:r w:rsidR="005D052E" w:rsidRPr="0030135C">
        <w:rPr>
          <w:rFonts w:eastAsia="Times New Roman"/>
        </w:rPr>
        <w:t xml:space="preserve"> demuestra que los Wautier lo conocían </w:t>
      </w:r>
      <w:r w:rsidR="00F17BDF" w:rsidRPr="0030135C">
        <w:rPr>
          <w:rFonts w:eastAsia="Times New Roman"/>
        </w:rPr>
        <w:t>y lo retrataron</w:t>
      </w:r>
      <w:r w:rsidR="00126C0A" w:rsidRPr="0030135C">
        <w:rPr>
          <w:rFonts w:eastAsia="Times New Roman"/>
        </w:rPr>
        <w:t xml:space="preserve"> -</w:t>
      </w:r>
      <w:r w:rsidR="008B0411" w:rsidRPr="0030135C">
        <w:rPr>
          <w:rFonts w:eastAsia="Times New Roman"/>
        </w:rPr>
        <w:t>en un ól</w:t>
      </w:r>
      <w:r w:rsidR="00126C0A" w:rsidRPr="0030135C">
        <w:rPr>
          <w:rFonts w:eastAsia="Times New Roman"/>
        </w:rPr>
        <w:t>eo que no ha llegado a nosotros-,</w:t>
      </w:r>
      <w:r w:rsidR="008B0411" w:rsidRPr="0030135C">
        <w:rPr>
          <w:rFonts w:eastAsia="Times New Roman"/>
        </w:rPr>
        <w:t xml:space="preserve"> utilizando el mismo esquema del </w:t>
      </w:r>
      <w:r w:rsidR="008B0411" w:rsidRPr="0030135C">
        <w:rPr>
          <w:rFonts w:eastAsia="Times New Roman"/>
          <w:i/>
        </w:rPr>
        <w:t>Retrato de</w:t>
      </w:r>
      <w:r w:rsidR="00126C0A" w:rsidRPr="0030135C">
        <w:rPr>
          <w:rFonts w:eastAsia="Times New Roman"/>
          <w:i/>
        </w:rPr>
        <w:t>l duque de</w:t>
      </w:r>
      <w:r w:rsidR="008B0411" w:rsidRPr="0030135C">
        <w:rPr>
          <w:rFonts w:eastAsia="Times New Roman"/>
          <w:i/>
        </w:rPr>
        <w:t xml:space="preserve"> Alburquerque</w:t>
      </w:r>
      <w:r w:rsidR="005D7AAB" w:rsidRPr="0030135C">
        <w:rPr>
          <w:rFonts w:eastAsia="Times New Roman"/>
        </w:rPr>
        <w:t xml:space="preserve"> </w:t>
      </w:r>
      <w:r w:rsidR="005D7AAB" w:rsidRPr="006B3991">
        <w:rPr>
          <w:rFonts w:eastAsia="Times New Roman"/>
        </w:rPr>
        <w:t>(fig. 1).</w:t>
      </w:r>
      <w:r w:rsidR="005D7AAB" w:rsidRPr="0030135C">
        <w:rPr>
          <w:rFonts w:eastAsia="Times New Roman"/>
        </w:rPr>
        <w:t xml:space="preserve"> </w:t>
      </w:r>
      <w:r w:rsidR="008B0411" w:rsidRPr="0030135C">
        <w:rPr>
          <w:rFonts w:eastAsia="Times New Roman"/>
        </w:rPr>
        <w:t>E</w:t>
      </w:r>
      <w:r w:rsidR="005D052E" w:rsidRPr="0030135C">
        <w:rPr>
          <w:rFonts w:eastAsia="Times New Roman"/>
        </w:rPr>
        <w:t xml:space="preserve">l grabado </w:t>
      </w:r>
      <w:r w:rsidR="00EC7A6C" w:rsidRPr="0030135C">
        <w:rPr>
          <w:rFonts w:eastAsia="Times New Roman"/>
        </w:rPr>
        <w:t xml:space="preserve">no sólo </w:t>
      </w:r>
      <w:r w:rsidR="005D052E" w:rsidRPr="0030135C">
        <w:rPr>
          <w:rFonts w:eastAsia="Times New Roman"/>
        </w:rPr>
        <w:t>confirma la cercanía de los Wautier con la élite militar</w:t>
      </w:r>
      <w:r w:rsidR="005D052E" w:rsidRPr="0030135C">
        <w:rPr>
          <w:rStyle w:val="Marquenotebasdepage"/>
          <w:rFonts w:eastAsia="Times New Roman"/>
        </w:rPr>
        <w:footnoteReference w:id="42"/>
      </w:r>
      <w:r w:rsidR="00EC7A6C" w:rsidRPr="0030135C">
        <w:rPr>
          <w:rFonts w:eastAsia="Times New Roman"/>
        </w:rPr>
        <w:t>, también con varios</w:t>
      </w:r>
      <w:r w:rsidR="005D052E" w:rsidRPr="0030135C">
        <w:rPr>
          <w:rFonts w:eastAsia="Times New Roman"/>
        </w:rPr>
        <w:t xml:space="preserve"> protagonistas de la Batalla</w:t>
      </w:r>
      <w:r w:rsidR="00F17BDF" w:rsidRPr="0030135C">
        <w:rPr>
          <w:rFonts w:eastAsia="Times New Roman"/>
        </w:rPr>
        <w:t xml:space="preserve"> de Rocroi: </w:t>
      </w:r>
      <w:r w:rsidR="00EC7A6C" w:rsidRPr="0030135C">
        <w:rPr>
          <w:rFonts w:eastAsia="Times New Roman"/>
        </w:rPr>
        <w:t xml:space="preserve">Cantelmo, Bucquoy y Alburquerque </w:t>
      </w:r>
      <w:r w:rsidR="00FE1A4D" w:rsidRPr="0030135C">
        <w:rPr>
          <w:rFonts w:eastAsia="Times New Roman"/>
        </w:rPr>
        <w:t xml:space="preserve">acudieron a </w:t>
      </w:r>
      <w:r w:rsidR="000F097B" w:rsidRPr="0030135C">
        <w:rPr>
          <w:rFonts w:eastAsia="Times New Roman"/>
        </w:rPr>
        <w:t>ellos</w:t>
      </w:r>
      <w:r w:rsidR="005D7AAB" w:rsidRPr="0030135C">
        <w:rPr>
          <w:rFonts w:eastAsia="Times New Roman"/>
        </w:rPr>
        <w:t xml:space="preserve"> (</w:t>
      </w:r>
      <w:r w:rsidR="005D7AAB" w:rsidRPr="006B3991">
        <w:rPr>
          <w:rFonts w:eastAsia="Times New Roman"/>
        </w:rPr>
        <w:t>figs. 1, 10 y 14</w:t>
      </w:r>
      <w:r w:rsidR="000F097B" w:rsidRPr="006B3991">
        <w:rPr>
          <w:rFonts w:eastAsia="Times New Roman"/>
        </w:rPr>
        <w:t>)</w:t>
      </w:r>
      <w:r w:rsidR="005D7AAB" w:rsidRPr="0030135C">
        <w:rPr>
          <w:rFonts w:eastAsia="Times New Roman"/>
        </w:rPr>
        <w:t xml:space="preserve"> probablemente</w:t>
      </w:r>
      <w:r w:rsidR="00EC7A6C" w:rsidRPr="0030135C">
        <w:rPr>
          <w:rFonts w:eastAsia="Times New Roman"/>
        </w:rPr>
        <w:t xml:space="preserve"> en los mismos momentos, y quien sabe si guiados por la recomendación, por la emulación o por la competencia. </w:t>
      </w:r>
      <w:r w:rsidR="005D052E" w:rsidRPr="0030135C">
        <w:rPr>
          <w:rFonts w:eastAsia="Times New Roman"/>
        </w:rPr>
        <w:t xml:space="preserve">El nombramiento de Alburquerque </w:t>
      </w:r>
      <w:r w:rsidR="00FE1A4D" w:rsidRPr="0030135C">
        <w:rPr>
          <w:rFonts w:eastAsia="Times New Roman"/>
        </w:rPr>
        <w:t xml:space="preserve">en 1643 </w:t>
      </w:r>
      <w:r w:rsidR="005D052E" w:rsidRPr="0030135C">
        <w:rPr>
          <w:rFonts w:eastAsia="Times New Roman"/>
        </w:rPr>
        <w:t>provocó el descontento manifiesto de Cantelmo que, habiéndolo tenido bajo su mando, se negaba ahora a seguir sus órdenes</w:t>
      </w:r>
      <w:r w:rsidR="005D052E" w:rsidRPr="0030135C">
        <w:rPr>
          <w:rStyle w:val="Marquenotebasdepage"/>
          <w:rFonts w:eastAsia="Times New Roman"/>
        </w:rPr>
        <w:footnoteReference w:id="43"/>
      </w:r>
      <w:r w:rsidR="005D052E" w:rsidRPr="0030135C">
        <w:rPr>
          <w:rFonts w:eastAsia="Times New Roman"/>
        </w:rPr>
        <w:t xml:space="preserve">.  </w:t>
      </w:r>
      <w:r w:rsidR="00295E41" w:rsidRPr="0030135C">
        <w:rPr>
          <w:rFonts w:eastAsia="Times New Roman"/>
        </w:rPr>
        <w:t>Bucquoy</w:t>
      </w:r>
      <w:r w:rsidR="005D052E" w:rsidRPr="0030135C">
        <w:rPr>
          <w:rFonts w:eastAsia="Times New Roman"/>
        </w:rPr>
        <w:t xml:space="preserve">, en cambio, </w:t>
      </w:r>
      <w:r w:rsidR="00075041" w:rsidRPr="0030135C">
        <w:rPr>
          <w:rFonts w:eastAsia="Times New Roman"/>
        </w:rPr>
        <w:t xml:space="preserve">habría </w:t>
      </w:r>
      <w:r w:rsidR="008B0411" w:rsidRPr="0030135C">
        <w:rPr>
          <w:rFonts w:eastAsia="Times New Roman"/>
        </w:rPr>
        <w:t xml:space="preserve">manifestado no tener quejas, </w:t>
      </w:r>
      <w:r w:rsidR="006E5BFB" w:rsidRPr="0030135C">
        <w:rPr>
          <w:rFonts w:eastAsia="Times New Roman"/>
        </w:rPr>
        <w:t xml:space="preserve">sabiendo que </w:t>
      </w:r>
      <w:r w:rsidR="005D052E" w:rsidRPr="0030135C">
        <w:rPr>
          <w:rFonts w:eastAsia="Times New Roman"/>
        </w:rPr>
        <w:t xml:space="preserve">Alburquerque </w:t>
      </w:r>
      <w:r w:rsidR="006E5BFB" w:rsidRPr="0030135C">
        <w:rPr>
          <w:rFonts w:eastAsia="Times New Roman"/>
        </w:rPr>
        <w:t xml:space="preserve">“desea servir, </w:t>
      </w:r>
      <w:r w:rsidR="00BF0AB9" w:rsidRPr="0030135C">
        <w:rPr>
          <w:rFonts w:eastAsia="Times New Roman"/>
        </w:rPr>
        <w:t>y aunque conoce es mozo, ve que se han dado puesto</w:t>
      </w:r>
      <w:r w:rsidR="006E5BFB" w:rsidRPr="0030135C">
        <w:rPr>
          <w:rFonts w:eastAsia="Times New Roman"/>
        </w:rPr>
        <w:t xml:space="preserve">s </w:t>
      </w:r>
      <w:r w:rsidR="00075041" w:rsidRPr="0030135C">
        <w:rPr>
          <w:rFonts w:eastAsia="Times New Roman"/>
        </w:rPr>
        <w:t>a</w:t>
      </w:r>
      <w:r w:rsidR="00EC7A6C" w:rsidRPr="0030135C">
        <w:rPr>
          <w:rFonts w:eastAsia="Times New Roman"/>
        </w:rPr>
        <w:t xml:space="preserve"> quien no peina mas canas”</w:t>
      </w:r>
      <w:r w:rsidR="00803C87" w:rsidRPr="0030135C">
        <w:rPr>
          <w:rStyle w:val="Marquenotebasdepage"/>
          <w:rFonts w:eastAsia="Times New Roman"/>
        </w:rPr>
        <w:t xml:space="preserve"> </w:t>
      </w:r>
      <w:r w:rsidR="00803C87" w:rsidRPr="0030135C">
        <w:rPr>
          <w:rStyle w:val="Marquenotebasdepage"/>
          <w:rFonts w:eastAsia="Times New Roman"/>
        </w:rPr>
        <w:footnoteReference w:id="44"/>
      </w:r>
      <w:r w:rsidR="00EC7A6C" w:rsidRPr="0030135C">
        <w:rPr>
          <w:rFonts w:eastAsia="Times New Roman"/>
        </w:rPr>
        <w:t>. Así, el Secretario de Guerra</w:t>
      </w:r>
      <w:r w:rsidR="005D052E" w:rsidRPr="0030135C">
        <w:rPr>
          <w:rFonts w:eastAsia="Times New Roman"/>
        </w:rPr>
        <w:t xml:space="preserve"> </w:t>
      </w:r>
      <w:r w:rsidR="006E5BFB" w:rsidRPr="0030135C">
        <w:rPr>
          <w:rFonts w:eastAsia="Times New Roman"/>
        </w:rPr>
        <w:t xml:space="preserve">recomienda que </w:t>
      </w:r>
      <w:r w:rsidR="00DF17E1" w:rsidRPr="0030135C">
        <w:rPr>
          <w:rFonts w:eastAsia="Times New Roman"/>
        </w:rPr>
        <w:t>e</w:t>
      </w:r>
      <w:r w:rsidR="00075041" w:rsidRPr="0030135C">
        <w:rPr>
          <w:rFonts w:eastAsia="Times New Roman"/>
        </w:rPr>
        <w:t xml:space="preserve">l rey </w:t>
      </w:r>
      <w:r w:rsidR="00BF0AB9" w:rsidRPr="0030135C">
        <w:rPr>
          <w:rFonts w:eastAsia="Times New Roman"/>
        </w:rPr>
        <w:t>escriba</w:t>
      </w:r>
      <w:r w:rsidR="006E5BFB" w:rsidRPr="0030135C">
        <w:rPr>
          <w:rFonts w:eastAsia="Times New Roman"/>
        </w:rPr>
        <w:t xml:space="preserve"> a Alburquerque</w:t>
      </w:r>
      <w:r w:rsidR="00BF0AB9" w:rsidRPr="0030135C">
        <w:rPr>
          <w:rFonts w:eastAsia="Times New Roman"/>
        </w:rPr>
        <w:t xml:space="preserve"> “mostrándole satisfacción de su celo y puntualidad”</w:t>
      </w:r>
      <w:r w:rsidR="00075041" w:rsidRPr="0030135C">
        <w:rPr>
          <w:rStyle w:val="Marquenotebasdepage"/>
          <w:rFonts w:eastAsia="Times New Roman"/>
        </w:rPr>
        <w:footnoteReference w:id="45"/>
      </w:r>
      <w:r w:rsidR="006E5BFB" w:rsidRPr="0030135C">
        <w:rPr>
          <w:rFonts w:eastAsia="Times New Roman"/>
        </w:rPr>
        <w:t xml:space="preserve">. </w:t>
      </w:r>
    </w:p>
    <w:p w14:paraId="40CDBF2A" w14:textId="292262C0" w:rsidR="002E676B" w:rsidRPr="0030135C" w:rsidRDefault="000F097B" w:rsidP="002E676B">
      <w:pPr>
        <w:spacing w:line="360" w:lineRule="auto"/>
        <w:jc w:val="both"/>
        <w:rPr>
          <w:rFonts w:eastAsia="Times New Roman"/>
        </w:rPr>
      </w:pPr>
      <w:r w:rsidRPr="0030135C">
        <w:rPr>
          <w:rFonts w:eastAsia="Times New Roman"/>
        </w:rPr>
        <w:t xml:space="preserve">En la plaza de Artois </w:t>
      </w:r>
      <w:r w:rsidR="008B7AB3" w:rsidRPr="0030135C">
        <w:rPr>
          <w:rFonts w:eastAsia="Times New Roman"/>
        </w:rPr>
        <w:t>Alburquerque</w:t>
      </w:r>
      <w:r w:rsidR="00C626D8" w:rsidRPr="0030135C">
        <w:rPr>
          <w:rFonts w:eastAsia="Times New Roman"/>
        </w:rPr>
        <w:t xml:space="preserve"> </w:t>
      </w:r>
      <w:r w:rsidR="008B7AB3" w:rsidRPr="0030135C">
        <w:rPr>
          <w:rFonts w:eastAsia="Times New Roman"/>
        </w:rPr>
        <w:t xml:space="preserve">estaba al </w:t>
      </w:r>
      <w:r w:rsidR="00C626D8" w:rsidRPr="0030135C">
        <w:rPr>
          <w:rFonts w:eastAsia="Times New Roman"/>
        </w:rPr>
        <w:t>mando de seis ter</w:t>
      </w:r>
      <w:r w:rsidR="008B7AB3" w:rsidRPr="0030135C">
        <w:rPr>
          <w:rFonts w:eastAsia="Times New Roman"/>
        </w:rPr>
        <w:t xml:space="preserve">cios de españoles, tres de italianos, y tres </w:t>
      </w:r>
      <w:r w:rsidR="00C626D8" w:rsidRPr="0030135C">
        <w:rPr>
          <w:rFonts w:eastAsia="Times New Roman"/>
        </w:rPr>
        <w:t>de valones</w:t>
      </w:r>
      <w:r w:rsidR="00AA2F69" w:rsidRPr="0030135C">
        <w:rPr>
          <w:rStyle w:val="Marquenotebasdepage"/>
          <w:rFonts w:eastAsia="Times New Roman"/>
        </w:rPr>
        <w:footnoteReference w:id="46"/>
      </w:r>
      <w:r w:rsidR="00C626D8" w:rsidRPr="0030135C">
        <w:rPr>
          <w:rFonts w:eastAsia="Times New Roman"/>
        </w:rPr>
        <w:t>.</w:t>
      </w:r>
      <w:r w:rsidR="00E85978" w:rsidRPr="0030135C">
        <w:rPr>
          <w:rFonts w:eastAsia="Times New Roman"/>
        </w:rPr>
        <w:t xml:space="preserve"> Había que en</w:t>
      </w:r>
      <w:r w:rsidR="000959EA" w:rsidRPr="0030135C">
        <w:rPr>
          <w:rFonts w:eastAsia="Times New Roman"/>
        </w:rPr>
        <w:t>trar en Francia para resistir</w:t>
      </w:r>
      <w:r w:rsidR="00E85978" w:rsidRPr="0030135C">
        <w:rPr>
          <w:rFonts w:eastAsia="Times New Roman"/>
        </w:rPr>
        <w:t xml:space="preserve"> mejor </w:t>
      </w:r>
      <w:r w:rsidR="000959EA" w:rsidRPr="0030135C">
        <w:rPr>
          <w:rFonts w:eastAsia="Times New Roman"/>
        </w:rPr>
        <w:t xml:space="preserve">a los franceses </w:t>
      </w:r>
      <w:r w:rsidR="00E85978" w:rsidRPr="0030135C">
        <w:rPr>
          <w:rFonts w:eastAsia="Times New Roman"/>
        </w:rPr>
        <w:t xml:space="preserve">y pelear con ellos. Con tal fin </w:t>
      </w:r>
      <w:r w:rsidR="008B7AB3" w:rsidRPr="0030135C">
        <w:rPr>
          <w:rFonts w:eastAsia="Times New Roman"/>
        </w:rPr>
        <w:t>eligió</w:t>
      </w:r>
      <w:r w:rsidR="00E85978" w:rsidRPr="0030135C">
        <w:rPr>
          <w:rFonts w:eastAsia="Times New Roman"/>
        </w:rPr>
        <w:t xml:space="preserve"> Melo la ciudad de Rocroi, por la cercanía de la ribera del Mosa para los víveres, y </w:t>
      </w:r>
      <w:r w:rsidR="008B7AB3" w:rsidRPr="0030135C">
        <w:rPr>
          <w:rFonts w:eastAsia="Times New Roman"/>
        </w:rPr>
        <w:t>porque desde allí</w:t>
      </w:r>
      <w:r w:rsidR="00E85978" w:rsidRPr="0030135C">
        <w:rPr>
          <w:rFonts w:eastAsia="Times New Roman"/>
        </w:rPr>
        <w:t xml:space="preserve"> se pod</w:t>
      </w:r>
      <w:r w:rsidR="008B7AB3" w:rsidRPr="0030135C">
        <w:rPr>
          <w:rFonts w:eastAsia="Times New Roman"/>
        </w:rPr>
        <w:t>r</w:t>
      </w:r>
      <w:r w:rsidR="00E85978" w:rsidRPr="0030135C">
        <w:rPr>
          <w:rFonts w:eastAsia="Times New Roman"/>
        </w:rPr>
        <w:t>ía</w:t>
      </w:r>
      <w:r w:rsidR="008B7AB3" w:rsidRPr="0030135C">
        <w:rPr>
          <w:rFonts w:eastAsia="Times New Roman"/>
        </w:rPr>
        <w:t>n abrir má</w:t>
      </w:r>
      <w:r w:rsidR="00E85978" w:rsidRPr="0030135C">
        <w:rPr>
          <w:rFonts w:eastAsia="Times New Roman"/>
        </w:rPr>
        <w:t xml:space="preserve">s fácil camino a Francia, sabiendo que en esta plaza tenían los franceses muy pocos soldados. </w:t>
      </w:r>
      <w:r w:rsidR="003C5F9E">
        <w:rPr>
          <w:rFonts w:eastAsia="Times New Roman"/>
        </w:rPr>
        <w:t xml:space="preserve">Si bien no </w:t>
      </w:r>
      <w:r w:rsidR="003C5F9E" w:rsidRPr="0030135C">
        <w:rPr>
          <w:rFonts w:eastAsia="Times New Roman"/>
        </w:rPr>
        <w:t>fue d</w:t>
      </w:r>
      <w:r w:rsidR="00D95814">
        <w:rPr>
          <w:rFonts w:eastAsia="Times New Roman"/>
        </w:rPr>
        <w:t xml:space="preserve">ifícil tomar presos a los </w:t>
      </w:r>
      <w:r w:rsidR="003C5F9E" w:rsidRPr="0030135C">
        <w:rPr>
          <w:rFonts w:eastAsia="Times New Roman"/>
        </w:rPr>
        <w:t>soldados y fusileros franceses, al ser “de tal manera sorprendidos de la inopinada llegada de este ejército español”</w:t>
      </w:r>
      <w:r w:rsidR="003C5F9E" w:rsidRPr="0030135C">
        <w:rPr>
          <w:rStyle w:val="Marquenotebasdepage"/>
          <w:rFonts w:eastAsia="Times New Roman"/>
        </w:rPr>
        <w:footnoteReference w:id="47"/>
      </w:r>
      <w:r w:rsidR="003C5F9E">
        <w:rPr>
          <w:rFonts w:eastAsia="Times New Roman"/>
        </w:rPr>
        <w:t xml:space="preserve">, los españoles </w:t>
      </w:r>
      <w:r w:rsidR="003C5F9E" w:rsidRPr="0030135C">
        <w:rPr>
          <w:rFonts w:eastAsia="Times New Roman"/>
        </w:rPr>
        <w:t xml:space="preserve">se confiaron y subestimaron las fuerzas </w:t>
      </w:r>
      <w:r w:rsidR="009B2B23">
        <w:rPr>
          <w:rFonts w:eastAsia="Times New Roman"/>
        </w:rPr>
        <w:t>de su oponente</w:t>
      </w:r>
      <w:r w:rsidR="003C5F9E" w:rsidRPr="0030135C">
        <w:rPr>
          <w:rFonts w:eastAsia="Times New Roman"/>
        </w:rPr>
        <w:t>: “nadie podía creer que los cuerpos de ejército franceses podrían juntarse en tan poco tiempo”</w:t>
      </w:r>
      <w:r w:rsidR="003C5F9E" w:rsidRPr="0030135C">
        <w:rPr>
          <w:rStyle w:val="Marquenotebasdepage"/>
          <w:rFonts w:eastAsia="Times New Roman"/>
        </w:rPr>
        <w:footnoteReference w:id="48"/>
      </w:r>
      <w:r w:rsidR="003C5F9E" w:rsidRPr="0030135C">
        <w:rPr>
          <w:rFonts w:eastAsia="Times New Roman"/>
        </w:rPr>
        <w:t>.</w:t>
      </w:r>
      <w:r w:rsidR="002E676B">
        <w:rPr>
          <w:rFonts w:eastAsia="Times New Roman"/>
        </w:rPr>
        <w:t xml:space="preserve"> </w:t>
      </w:r>
      <w:r w:rsidR="002E676B" w:rsidRPr="0030135C">
        <w:rPr>
          <w:rFonts w:eastAsia="Times New Roman"/>
        </w:rPr>
        <w:t>Como el enemigo francés avanzaba, Melo resolvió con Alburquerque y Fontana estudiar los puestos más ventajosos para esperar al enemigo</w:t>
      </w:r>
      <w:r w:rsidR="002E676B" w:rsidRPr="0030135C">
        <w:rPr>
          <w:rStyle w:val="Marquenotebasdepage"/>
          <w:rFonts w:eastAsia="Times New Roman"/>
        </w:rPr>
        <w:footnoteReference w:id="49"/>
      </w:r>
      <w:r w:rsidR="002E676B" w:rsidRPr="0030135C">
        <w:rPr>
          <w:rFonts w:eastAsia="Times New Roman"/>
        </w:rPr>
        <w:t xml:space="preserve">. Pensando que no era digno del ejército de su majestad católica aparentar miedo esperando, resolvió salir a encontrarlos. Así, mandó formar los batallones de infantería con </w:t>
      </w:r>
      <w:r w:rsidR="006B3991">
        <w:rPr>
          <w:rFonts w:eastAsia="Times New Roman"/>
        </w:rPr>
        <w:t>la caballería a ambos lados (figs. 17 y 18</w:t>
      </w:r>
      <w:r w:rsidR="002E676B" w:rsidRPr="0030135C">
        <w:rPr>
          <w:rFonts w:eastAsia="Times New Roman"/>
        </w:rPr>
        <w:t xml:space="preserve">), disponiendo un frente muy grande y pensando siempre </w:t>
      </w:r>
      <w:r w:rsidR="00D95814">
        <w:rPr>
          <w:rFonts w:eastAsia="Times New Roman"/>
        </w:rPr>
        <w:t>que</w:t>
      </w:r>
      <w:r w:rsidR="002E676B" w:rsidRPr="0030135C">
        <w:rPr>
          <w:rFonts w:eastAsia="Times New Roman"/>
        </w:rPr>
        <w:t xml:space="preserve"> la intención del enemigo era sólo de socorrer la plaza y no de aventurarse en una batalla. Pero los franceses se pusieron en postura de querer embestir. Cuenta Vincart que fue entonces cuando el duque de Alburquerque, que luchaba al costado izquierdo contra la caballería francesa, exclamó: “Agora es tiempo de hacer como quien somos”</w:t>
      </w:r>
      <w:r w:rsidR="002E676B" w:rsidRPr="0030135C">
        <w:rPr>
          <w:rStyle w:val="Marquenotebasdepage"/>
          <w:rFonts w:eastAsia="Times New Roman"/>
        </w:rPr>
        <w:footnoteReference w:id="50"/>
      </w:r>
      <w:r w:rsidR="002E676B" w:rsidRPr="0030135C">
        <w:rPr>
          <w:rFonts w:eastAsia="Times New Roman"/>
        </w:rPr>
        <w:t xml:space="preserve">. Y así hizo, rompiendo la vanguardia de la caballería e infantería francesas, dejando muchos enemigos muertos y otros pidiendo cuartel. Otro tanto hizo el conde de Isenburg con la caballería de Alsacia. </w:t>
      </w:r>
    </w:p>
    <w:p w14:paraId="302B80FB" w14:textId="3D38C493" w:rsidR="002E676B" w:rsidRPr="0030135C" w:rsidRDefault="002E676B" w:rsidP="002E676B">
      <w:pPr>
        <w:spacing w:line="360" w:lineRule="auto"/>
        <w:jc w:val="both"/>
        <w:rPr>
          <w:rFonts w:eastAsia="Times New Roman"/>
        </w:rPr>
      </w:pPr>
      <w:r w:rsidRPr="0030135C">
        <w:rPr>
          <w:rFonts w:eastAsia="Times New Roman"/>
        </w:rPr>
        <w:t>Los ejércitos franceses estaban muy debilitados y los soldados de Felipe IV cantaban victoria “echando sus sombreros en lo alto”</w:t>
      </w:r>
      <w:r w:rsidRPr="0030135C">
        <w:rPr>
          <w:rStyle w:val="Marquenotebasdepage"/>
          <w:rFonts w:eastAsia="Times New Roman"/>
        </w:rPr>
        <w:footnoteReference w:id="51"/>
      </w:r>
      <w:r w:rsidRPr="0030135C">
        <w:rPr>
          <w:rFonts w:eastAsia="Times New Roman"/>
        </w:rPr>
        <w:t>. Pero lo</w:t>
      </w:r>
      <w:r>
        <w:rPr>
          <w:rFonts w:eastAsia="Times New Roman"/>
        </w:rPr>
        <w:t>s franceses doblaron la carga, y</w:t>
      </w:r>
      <w:r w:rsidRPr="0030135C">
        <w:rPr>
          <w:rFonts w:eastAsia="Times New Roman"/>
        </w:rPr>
        <w:t xml:space="preserve"> la infantería española empezó a desordenarse. La lucha fue muy sangrienta, resultando numerosas muertes. Melo mandó a Alburquerque y a sus tenientes a</w:t>
      </w:r>
      <w:r>
        <w:rPr>
          <w:rFonts w:eastAsia="Times New Roman"/>
        </w:rPr>
        <w:t xml:space="preserve"> avanzar las tropas de reserva, p</w:t>
      </w:r>
      <w:r w:rsidRPr="0030135C">
        <w:rPr>
          <w:rFonts w:eastAsia="Times New Roman"/>
        </w:rPr>
        <w:t>ero “vinieron tantos escuadrones y batallones de caballería e infantería francesa a embestirles que rompieron otra vez todos los escuadrones”</w:t>
      </w:r>
      <w:r w:rsidRPr="0030135C">
        <w:rPr>
          <w:rStyle w:val="Marquenotebasdepage"/>
          <w:rFonts w:eastAsia="Times New Roman"/>
        </w:rPr>
        <w:footnoteReference w:id="52"/>
      </w:r>
      <w:r w:rsidRPr="0030135C">
        <w:rPr>
          <w:rFonts w:eastAsia="Times New Roman"/>
        </w:rPr>
        <w:t>. Se produjeron muchas pérdidas por el lado español y –nos cuenta Vincart- que cuando ya se estaban retirando aún se “toparon al duque de Alburquerque con la espada en la mano”</w:t>
      </w:r>
      <w:r w:rsidRPr="0030135C">
        <w:rPr>
          <w:rStyle w:val="Marquenotebasdepage"/>
          <w:rFonts w:eastAsia="Times New Roman"/>
        </w:rPr>
        <w:footnoteReference w:id="53"/>
      </w:r>
      <w:r w:rsidRPr="0030135C">
        <w:rPr>
          <w:rFonts w:eastAsia="Times New Roman"/>
        </w:rPr>
        <w:t xml:space="preserve"> queriendo juntar escuadrones, pero no hallando sino oficiales y capitanes sin soldados. Como ya no había más caballería en pie, el duque de Alburquerque, que había sido herido de un mosquetazo en la pierna, fue forzado a retirarse. El ejército español fue cercado por todas partes. Se vieron obligados a ceder a la siniestra fortuna de la guerra, y hacer su retirada.</w:t>
      </w:r>
    </w:p>
    <w:p w14:paraId="11055F7D" w14:textId="468F5DF5" w:rsidR="00976F2F" w:rsidRPr="0030135C" w:rsidRDefault="004B0421" w:rsidP="0030135C">
      <w:pPr>
        <w:spacing w:line="360" w:lineRule="auto"/>
        <w:jc w:val="both"/>
        <w:rPr>
          <w:rFonts w:eastAsia="Times New Roman"/>
        </w:rPr>
      </w:pPr>
      <w:r w:rsidRPr="0030135C">
        <w:rPr>
          <w:rFonts w:eastAsia="Times New Roman"/>
        </w:rPr>
        <w:t xml:space="preserve">La versión francesa </w:t>
      </w:r>
      <w:r w:rsidR="00CD0F0D" w:rsidRPr="0030135C">
        <w:rPr>
          <w:rFonts w:eastAsia="Times New Roman"/>
        </w:rPr>
        <w:t xml:space="preserve">del duque de Aumale </w:t>
      </w:r>
      <w:r w:rsidRPr="0030135C">
        <w:rPr>
          <w:rFonts w:eastAsia="Times New Roman"/>
        </w:rPr>
        <w:t>cuenta que Alburquerque salió</w:t>
      </w:r>
      <w:r w:rsidR="00E62129" w:rsidRPr="0030135C">
        <w:rPr>
          <w:rFonts w:eastAsia="Times New Roman"/>
        </w:rPr>
        <w:t xml:space="preserve"> huyendo durante 32 </w:t>
      </w:r>
      <w:r w:rsidR="001307AC" w:rsidRPr="0030135C">
        <w:rPr>
          <w:rFonts w:eastAsia="Times New Roman"/>
        </w:rPr>
        <w:t>kilómetros</w:t>
      </w:r>
      <w:r w:rsidR="00C63A30" w:rsidRPr="0030135C">
        <w:rPr>
          <w:rStyle w:val="Marquenotebasdepage"/>
          <w:rFonts w:eastAsia="Times New Roman"/>
        </w:rPr>
        <w:footnoteReference w:id="54"/>
      </w:r>
      <w:r w:rsidR="00F71D81" w:rsidRPr="0030135C">
        <w:rPr>
          <w:rFonts w:eastAsia="Times New Roman"/>
        </w:rPr>
        <w:t xml:space="preserve">, haciéndole responsable de la derrota. </w:t>
      </w:r>
      <w:r w:rsidR="00E62129" w:rsidRPr="0030135C">
        <w:rPr>
          <w:rFonts w:eastAsia="Times New Roman"/>
        </w:rPr>
        <w:t xml:space="preserve">Ante tal </w:t>
      </w:r>
      <w:r w:rsidR="00CD0F0D" w:rsidRPr="0030135C">
        <w:rPr>
          <w:rFonts w:eastAsia="Times New Roman"/>
        </w:rPr>
        <w:t>acusación</w:t>
      </w:r>
      <w:r w:rsidR="00E62129" w:rsidRPr="0030135C">
        <w:rPr>
          <w:rFonts w:eastAsia="Times New Roman"/>
        </w:rPr>
        <w:t xml:space="preserve"> </w:t>
      </w:r>
      <w:r w:rsidR="005E657D" w:rsidRPr="0030135C">
        <w:rPr>
          <w:rFonts w:eastAsia="Times New Roman"/>
        </w:rPr>
        <w:t xml:space="preserve">de cobardía </w:t>
      </w:r>
      <w:r w:rsidR="00E62129" w:rsidRPr="0030135C">
        <w:rPr>
          <w:rFonts w:eastAsia="Times New Roman"/>
        </w:rPr>
        <w:t xml:space="preserve">se indigna y arremete </w:t>
      </w:r>
      <w:r w:rsidR="008B0411" w:rsidRPr="0030135C">
        <w:rPr>
          <w:rFonts w:eastAsia="Times New Roman"/>
        </w:rPr>
        <w:t xml:space="preserve">el historiador español </w:t>
      </w:r>
      <w:r w:rsidR="00CD0F0D" w:rsidRPr="0030135C">
        <w:rPr>
          <w:rFonts w:eastAsia="Times New Roman"/>
        </w:rPr>
        <w:t>Rodríguez</w:t>
      </w:r>
      <w:r w:rsidR="00E62129" w:rsidRPr="0030135C">
        <w:rPr>
          <w:rFonts w:eastAsia="Times New Roman"/>
        </w:rPr>
        <w:t xml:space="preserve"> Villa en</w:t>
      </w:r>
      <w:r w:rsidR="00705F8F" w:rsidRPr="0030135C">
        <w:rPr>
          <w:rFonts w:eastAsia="Times New Roman"/>
        </w:rPr>
        <w:t xml:space="preserve"> un artí</w:t>
      </w:r>
      <w:r w:rsidR="00E62129" w:rsidRPr="0030135C">
        <w:rPr>
          <w:rFonts w:eastAsia="Times New Roman"/>
        </w:rPr>
        <w:t>culo en que toma la defensa de Alburquerque</w:t>
      </w:r>
      <w:r w:rsidR="00CD0F0D" w:rsidRPr="0030135C">
        <w:rPr>
          <w:rFonts w:eastAsia="Times New Roman"/>
        </w:rPr>
        <w:t>, e insiste en su valor basándose en los testimonios históricos de Vincart y de Francisco Dávila Orejón Gastón</w:t>
      </w:r>
      <w:r w:rsidR="0053641C" w:rsidRPr="0030135C">
        <w:rPr>
          <w:rStyle w:val="Marquenotebasdepage"/>
          <w:rFonts w:eastAsia="Times New Roman"/>
        </w:rPr>
        <w:footnoteReference w:id="55"/>
      </w:r>
      <w:r w:rsidR="00B31734" w:rsidRPr="0030135C">
        <w:rPr>
          <w:rFonts w:eastAsia="Times New Roman"/>
        </w:rPr>
        <w:t xml:space="preserve">. </w:t>
      </w:r>
      <w:r w:rsidR="004F6638" w:rsidRPr="0030135C">
        <w:rPr>
          <w:rFonts w:eastAsia="Times New Roman"/>
        </w:rPr>
        <w:t>En efecto, é</w:t>
      </w:r>
      <w:r w:rsidR="004B0ADF" w:rsidRPr="0030135C">
        <w:rPr>
          <w:rFonts w:eastAsia="Times New Roman"/>
        </w:rPr>
        <w:t xml:space="preserve">ste </w:t>
      </w:r>
      <w:r w:rsidR="00D07CD1" w:rsidRPr="0030135C">
        <w:rPr>
          <w:rFonts w:eastAsia="Times New Roman"/>
        </w:rPr>
        <w:t>también afirma respecto al T</w:t>
      </w:r>
      <w:r w:rsidR="004B0ADF" w:rsidRPr="0030135C">
        <w:rPr>
          <w:rFonts w:eastAsia="Times New Roman"/>
        </w:rPr>
        <w:t xml:space="preserve">ercio del duque </w:t>
      </w:r>
      <w:r w:rsidR="00260C29" w:rsidRPr="0030135C">
        <w:rPr>
          <w:rFonts w:eastAsia="Times New Roman"/>
        </w:rPr>
        <w:t>de Alburquerque “que todo un ejé</w:t>
      </w:r>
      <w:r w:rsidR="004B0ADF" w:rsidRPr="0030135C">
        <w:rPr>
          <w:rFonts w:eastAsia="Times New Roman"/>
        </w:rPr>
        <w:t>rcito vencedor los respetó por unido y bien ordenado”</w:t>
      </w:r>
      <w:r w:rsidR="004F6638" w:rsidRPr="0030135C">
        <w:rPr>
          <w:rStyle w:val="Marquenotebasdepage"/>
          <w:rFonts w:eastAsia="Times New Roman"/>
        </w:rPr>
        <w:footnoteReference w:id="56"/>
      </w:r>
      <w:r w:rsidR="004F6638" w:rsidRPr="0030135C">
        <w:rPr>
          <w:rFonts w:eastAsia="Times New Roman"/>
        </w:rPr>
        <w:t xml:space="preserve"> </w:t>
      </w:r>
      <w:r w:rsidR="004B0ADF" w:rsidRPr="0030135C">
        <w:rPr>
          <w:rFonts w:eastAsia="Times New Roman"/>
        </w:rPr>
        <w:t xml:space="preserve">y que, al contrario, cuando ya </w:t>
      </w:r>
      <w:r w:rsidR="00B31734" w:rsidRPr="0030135C">
        <w:rPr>
          <w:rFonts w:eastAsia="Times New Roman"/>
        </w:rPr>
        <w:t xml:space="preserve">casi </w:t>
      </w:r>
      <w:r w:rsidR="004B0ADF" w:rsidRPr="0030135C">
        <w:rPr>
          <w:rFonts w:eastAsia="Times New Roman"/>
        </w:rPr>
        <w:t>estaban vencidos, “solo se mantenía el escuadrón del tercio que había sido del Señor Duque de Alburquerque”</w:t>
      </w:r>
      <w:r w:rsidR="004F6638" w:rsidRPr="0030135C">
        <w:rPr>
          <w:rStyle w:val="Marquenotebasdepage"/>
          <w:rFonts w:eastAsia="Times New Roman"/>
        </w:rPr>
        <w:footnoteReference w:id="57"/>
      </w:r>
      <w:r w:rsidR="004B0ADF" w:rsidRPr="0030135C">
        <w:rPr>
          <w:rFonts w:eastAsia="Times New Roman"/>
        </w:rPr>
        <w:t xml:space="preserve">. </w:t>
      </w:r>
      <w:r w:rsidR="00C63A30" w:rsidRPr="0030135C">
        <w:t xml:space="preserve">Tras la protesta de Rodríguez Villa, Aumale </w:t>
      </w:r>
      <w:r w:rsidR="00136549" w:rsidRPr="0030135C">
        <w:rPr>
          <w:rFonts w:eastAsia="Times New Roman"/>
        </w:rPr>
        <w:t>en cierto modo se disculpa</w:t>
      </w:r>
      <w:r w:rsidR="00136549" w:rsidRPr="0030135C">
        <w:rPr>
          <w:rStyle w:val="Marquenotebasdepage"/>
          <w:rFonts w:eastAsia="Times New Roman"/>
        </w:rPr>
        <w:footnoteReference w:id="58"/>
      </w:r>
      <w:r w:rsidR="00136549" w:rsidRPr="0030135C">
        <w:rPr>
          <w:rFonts w:eastAsia="Times New Roman"/>
        </w:rPr>
        <w:t xml:space="preserve"> y </w:t>
      </w:r>
      <w:r w:rsidR="005F335D" w:rsidRPr="0030135C">
        <w:t xml:space="preserve">explica </w:t>
      </w:r>
      <w:r w:rsidR="00C63A30" w:rsidRPr="0030135C">
        <w:t xml:space="preserve">haber dado crédito </w:t>
      </w:r>
      <w:r w:rsidR="00965480" w:rsidRPr="0030135C">
        <w:t>a una</w:t>
      </w:r>
      <w:r w:rsidR="00C63A30" w:rsidRPr="0030135C">
        <w:t xml:space="preserve"> carta </w:t>
      </w:r>
      <w:r w:rsidR="00965480" w:rsidRPr="0030135C">
        <w:t xml:space="preserve">enviada </w:t>
      </w:r>
      <w:r w:rsidR="00C63A30" w:rsidRPr="0030135C">
        <w:t>à Mazarin</w:t>
      </w:r>
      <w:r w:rsidR="00DA7B17" w:rsidRPr="0030135C">
        <w:t>o</w:t>
      </w:r>
      <w:r w:rsidR="002B7357" w:rsidRPr="0030135C">
        <w:t xml:space="preserve"> en la </w:t>
      </w:r>
      <w:r w:rsidR="00B15BFF" w:rsidRPr="0030135C">
        <w:t xml:space="preserve">que </w:t>
      </w:r>
      <w:r w:rsidR="002B7357" w:rsidRPr="0030135C">
        <w:t xml:space="preserve">se </w:t>
      </w:r>
      <w:r w:rsidR="00C63A30" w:rsidRPr="0030135C">
        <w:t>señala la huida de Alburquerque</w:t>
      </w:r>
      <w:r w:rsidR="002B7357" w:rsidRPr="0030135C">
        <w:t>,</w:t>
      </w:r>
      <w:r w:rsidR="00C63A30" w:rsidRPr="0030135C">
        <w:t xml:space="preserve"> </w:t>
      </w:r>
      <w:r w:rsidR="00610D43" w:rsidRPr="0030135C">
        <w:t xml:space="preserve">en </w:t>
      </w:r>
      <w:r w:rsidR="004D3743" w:rsidRPr="0030135C">
        <w:t>una</w:t>
      </w:r>
      <w:r w:rsidR="00C63A30" w:rsidRPr="0030135C">
        <w:t xml:space="preserve"> memoria </w:t>
      </w:r>
      <w:r w:rsidR="00D15CEA" w:rsidRPr="0030135C">
        <w:t xml:space="preserve">que </w:t>
      </w:r>
      <w:r w:rsidR="002B7357" w:rsidRPr="0030135C">
        <w:t>aseguraban</w:t>
      </w:r>
      <w:r w:rsidR="00C63A30" w:rsidRPr="0030135C">
        <w:t xml:space="preserve"> </w:t>
      </w:r>
      <w:r w:rsidR="00D15CEA" w:rsidRPr="0030135C">
        <w:t>verídica</w:t>
      </w:r>
      <w:r w:rsidR="00C63A30" w:rsidRPr="0030135C">
        <w:rPr>
          <w:rStyle w:val="Marquenotebasdepage"/>
        </w:rPr>
        <w:footnoteReference w:id="59"/>
      </w:r>
      <w:r w:rsidR="00136549" w:rsidRPr="0030135C">
        <w:t xml:space="preserve">. </w:t>
      </w:r>
      <w:r w:rsidR="00C63A30" w:rsidRPr="0030135C">
        <w:rPr>
          <w:rFonts w:eastAsia="Times New Roman"/>
        </w:rPr>
        <w:t xml:space="preserve"> </w:t>
      </w:r>
    </w:p>
    <w:p w14:paraId="466E54CB" w14:textId="321D0283" w:rsidR="007A2833" w:rsidRPr="0030135C" w:rsidRDefault="00610D43" w:rsidP="0030135C">
      <w:pPr>
        <w:spacing w:line="360" w:lineRule="auto"/>
        <w:jc w:val="both"/>
        <w:rPr>
          <w:rFonts w:eastAsia="Times New Roman"/>
        </w:rPr>
      </w:pPr>
      <w:r w:rsidRPr="0030135C">
        <w:rPr>
          <w:rFonts w:eastAsia="Times New Roman"/>
        </w:rPr>
        <w:t xml:space="preserve">En el grabado de </w:t>
      </w:r>
      <w:r w:rsidRPr="0030135C">
        <w:rPr>
          <w:rFonts w:eastAsia="Times New Roman"/>
          <w:i/>
        </w:rPr>
        <w:t xml:space="preserve">La </w:t>
      </w:r>
      <w:r w:rsidR="000C2CC1" w:rsidRPr="0030135C">
        <w:rPr>
          <w:rFonts w:eastAsia="Times New Roman"/>
          <w:i/>
        </w:rPr>
        <w:t>Batalla de Rocroi</w:t>
      </w:r>
      <w:r w:rsidR="000C2CC1" w:rsidRPr="0030135C">
        <w:rPr>
          <w:rFonts w:eastAsia="Times New Roman"/>
        </w:rPr>
        <w:t xml:space="preserve"> </w:t>
      </w:r>
      <w:r w:rsidRPr="0030135C">
        <w:rPr>
          <w:rFonts w:eastAsia="Times New Roman"/>
        </w:rPr>
        <w:t xml:space="preserve">que </w:t>
      </w:r>
      <w:r w:rsidR="008D2A02" w:rsidRPr="0030135C">
        <w:rPr>
          <w:rFonts w:eastAsia="Times New Roman"/>
        </w:rPr>
        <w:t>edit</w:t>
      </w:r>
      <w:r w:rsidRPr="0030135C">
        <w:rPr>
          <w:rFonts w:eastAsia="Times New Roman"/>
        </w:rPr>
        <w:t>ó</w:t>
      </w:r>
      <w:r w:rsidR="008D2A02" w:rsidRPr="0030135C">
        <w:rPr>
          <w:rFonts w:eastAsia="Times New Roman"/>
        </w:rPr>
        <w:t xml:space="preserve"> en </w:t>
      </w:r>
      <w:r w:rsidR="009C5C2F" w:rsidRPr="0030135C">
        <w:rPr>
          <w:rFonts w:eastAsia="Times New Roman"/>
        </w:rPr>
        <w:t>Ámsterdam</w:t>
      </w:r>
      <w:r w:rsidRPr="0030135C">
        <w:rPr>
          <w:rFonts w:eastAsia="Times New Roman"/>
        </w:rPr>
        <w:t xml:space="preserve"> </w:t>
      </w:r>
      <w:r w:rsidR="008D2A02" w:rsidRPr="0030135C">
        <w:rPr>
          <w:rFonts w:eastAsia="Times New Roman"/>
        </w:rPr>
        <w:t>Jan van Hilsten</w:t>
      </w:r>
      <w:r w:rsidRPr="0030135C">
        <w:rPr>
          <w:rStyle w:val="Marquenotebasdepage"/>
          <w:rFonts w:eastAsia="Times New Roman"/>
        </w:rPr>
        <w:footnoteReference w:id="60"/>
      </w:r>
      <w:r w:rsidRPr="0030135C">
        <w:rPr>
          <w:rFonts w:eastAsia="Times New Roman"/>
        </w:rPr>
        <w:t xml:space="preserve"> (</w:t>
      </w:r>
      <w:r w:rsidR="000C2CC1" w:rsidRPr="0030135C">
        <w:rPr>
          <w:rFonts w:eastAsia="Times New Roman"/>
        </w:rPr>
        <w:t>1643</w:t>
      </w:r>
      <w:r w:rsidRPr="0030135C">
        <w:rPr>
          <w:rFonts w:eastAsia="Times New Roman"/>
        </w:rPr>
        <w:t xml:space="preserve">. </w:t>
      </w:r>
      <w:r w:rsidR="006B3991">
        <w:rPr>
          <w:rFonts w:eastAsia="Times New Roman"/>
        </w:rPr>
        <w:t>F</w:t>
      </w:r>
      <w:r w:rsidR="005D7AAB" w:rsidRPr="006B3991">
        <w:rPr>
          <w:rFonts w:eastAsia="Times New Roman"/>
        </w:rPr>
        <w:t>ig. 15</w:t>
      </w:r>
      <w:r w:rsidR="00983CB5" w:rsidRPr="006B3991">
        <w:rPr>
          <w:rFonts w:eastAsia="Times New Roman"/>
        </w:rPr>
        <w:t>)</w:t>
      </w:r>
      <w:r w:rsidR="002B0B71" w:rsidRPr="0030135C">
        <w:rPr>
          <w:rFonts w:eastAsia="Times New Roman"/>
        </w:rPr>
        <w:t xml:space="preserve"> se lee el nombre del duque de Alburquerque</w:t>
      </w:r>
      <w:r w:rsidR="00B67E65" w:rsidRPr="0030135C">
        <w:rPr>
          <w:rFonts w:eastAsia="Times New Roman"/>
        </w:rPr>
        <w:t xml:space="preserve"> abajo a la izquierda</w:t>
      </w:r>
      <w:r w:rsidR="002B0B71" w:rsidRPr="0030135C">
        <w:rPr>
          <w:rFonts w:eastAsia="Times New Roman"/>
        </w:rPr>
        <w:t>, p</w:t>
      </w:r>
      <w:r w:rsidR="000C2CC1" w:rsidRPr="0030135C">
        <w:rPr>
          <w:rFonts w:eastAsia="Times New Roman"/>
        </w:rPr>
        <w:t>ero no se sabe si se trata del hombre</w:t>
      </w:r>
      <w:r w:rsidR="002B0B71" w:rsidRPr="0030135C">
        <w:rPr>
          <w:rFonts w:eastAsia="Times New Roman"/>
        </w:rPr>
        <w:t xml:space="preserve"> derribado </w:t>
      </w:r>
      <w:r w:rsidR="000C2CC1" w:rsidRPr="0030135C">
        <w:rPr>
          <w:rFonts w:eastAsia="Times New Roman"/>
        </w:rPr>
        <w:t>en el suelo</w:t>
      </w:r>
      <w:r w:rsidR="000652B6" w:rsidRPr="0030135C">
        <w:rPr>
          <w:rFonts w:eastAsia="Times New Roman"/>
        </w:rPr>
        <w:t xml:space="preserve"> junto a su caballo</w:t>
      </w:r>
      <w:r w:rsidR="002B0B71" w:rsidRPr="0030135C">
        <w:rPr>
          <w:rFonts w:eastAsia="Times New Roman"/>
        </w:rPr>
        <w:t xml:space="preserve"> o </w:t>
      </w:r>
      <w:r w:rsidR="000C2CC1" w:rsidRPr="0030135C">
        <w:rPr>
          <w:rFonts w:eastAsia="Times New Roman"/>
        </w:rPr>
        <w:t>del que</w:t>
      </w:r>
      <w:r w:rsidRPr="0030135C">
        <w:rPr>
          <w:rFonts w:eastAsia="Times New Roman"/>
        </w:rPr>
        <w:t>,</w:t>
      </w:r>
      <w:r w:rsidR="000C2CC1" w:rsidRPr="0030135C">
        <w:rPr>
          <w:rFonts w:eastAsia="Times New Roman"/>
        </w:rPr>
        <w:t xml:space="preserve"> </w:t>
      </w:r>
      <w:r w:rsidR="00496F49" w:rsidRPr="0030135C">
        <w:rPr>
          <w:rFonts w:eastAsia="Times New Roman"/>
        </w:rPr>
        <w:t>montado</w:t>
      </w:r>
      <w:r w:rsidRPr="0030135C">
        <w:rPr>
          <w:rFonts w:eastAsia="Times New Roman"/>
        </w:rPr>
        <w:t>,</w:t>
      </w:r>
      <w:r w:rsidR="00496F49" w:rsidRPr="0030135C">
        <w:rPr>
          <w:rFonts w:eastAsia="Times New Roman"/>
        </w:rPr>
        <w:t xml:space="preserve"> em</w:t>
      </w:r>
      <w:r w:rsidRPr="0030135C">
        <w:rPr>
          <w:rFonts w:eastAsia="Times New Roman"/>
        </w:rPr>
        <w:t xml:space="preserve">prende la </w:t>
      </w:r>
      <w:r w:rsidR="000C2CC1" w:rsidRPr="0030135C">
        <w:rPr>
          <w:rFonts w:eastAsia="Times New Roman"/>
        </w:rPr>
        <w:t xml:space="preserve">retirada </w:t>
      </w:r>
      <w:r w:rsidR="00C55E66" w:rsidRPr="0030135C">
        <w:rPr>
          <w:rFonts w:eastAsia="Times New Roman"/>
        </w:rPr>
        <w:t xml:space="preserve">ante la embestida del </w:t>
      </w:r>
      <w:r w:rsidR="000D3E8E" w:rsidRPr="0030135C">
        <w:rPr>
          <w:rFonts w:eastAsia="Times New Roman"/>
        </w:rPr>
        <w:t>mariscal</w:t>
      </w:r>
      <w:r w:rsidR="00C55E66" w:rsidRPr="0030135C">
        <w:rPr>
          <w:rFonts w:eastAsia="Times New Roman"/>
        </w:rPr>
        <w:t xml:space="preserve"> de Guisa</w:t>
      </w:r>
      <w:r w:rsidR="00C327EA" w:rsidRPr="0030135C">
        <w:rPr>
          <w:rFonts w:eastAsia="Times New Roman"/>
        </w:rPr>
        <w:t xml:space="preserve"> </w:t>
      </w:r>
      <w:r w:rsidR="009C5C2F" w:rsidRPr="006B3991">
        <w:rPr>
          <w:rFonts w:eastAsia="Times New Roman"/>
        </w:rPr>
        <w:t>(</w:t>
      </w:r>
      <w:r w:rsidR="006929FB" w:rsidRPr="006B3991">
        <w:rPr>
          <w:rFonts w:eastAsia="Times New Roman"/>
        </w:rPr>
        <w:t>fig. 16</w:t>
      </w:r>
      <w:r w:rsidR="009C5C2F" w:rsidRPr="006B3991">
        <w:rPr>
          <w:rFonts w:eastAsia="Times New Roman"/>
        </w:rPr>
        <w:t>)</w:t>
      </w:r>
      <w:r w:rsidR="009C5C2F" w:rsidRPr="0030135C">
        <w:rPr>
          <w:rFonts w:eastAsia="Times New Roman"/>
        </w:rPr>
        <w:t xml:space="preserve">. </w:t>
      </w:r>
      <w:r w:rsidR="00CD0F0D" w:rsidRPr="0030135C">
        <w:rPr>
          <w:rFonts w:eastAsia="Times New Roman"/>
        </w:rPr>
        <w:t>El propio Alburquerque</w:t>
      </w:r>
      <w:r w:rsidR="004B7AE7" w:rsidRPr="0030135C">
        <w:rPr>
          <w:rFonts w:eastAsia="Times New Roman"/>
        </w:rPr>
        <w:t>,</w:t>
      </w:r>
      <w:r w:rsidR="00CD0F0D" w:rsidRPr="0030135C">
        <w:rPr>
          <w:rFonts w:eastAsia="Times New Roman"/>
        </w:rPr>
        <w:t xml:space="preserve"> en carta dirigida al Rey con posterioridad, </w:t>
      </w:r>
      <w:r w:rsidR="008D2A02" w:rsidRPr="0030135C">
        <w:rPr>
          <w:rFonts w:eastAsia="Times New Roman"/>
        </w:rPr>
        <w:t>insiste</w:t>
      </w:r>
      <w:r w:rsidR="00CD0F0D" w:rsidRPr="0030135C">
        <w:rPr>
          <w:rFonts w:eastAsia="Times New Roman"/>
        </w:rPr>
        <w:t xml:space="preserve"> en su servicio </w:t>
      </w:r>
      <w:r w:rsidR="004F6638" w:rsidRPr="0030135C">
        <w:rPr>
          <w:rFonts w:eastAsia="Times New Roman"/>
        </w:rPr>
        <w:t>al rey en esta batalla de Rocroi</w:t>
      </w:r>
      <w:r w:rsidR="00CD0F0D" w:rsidRPr="0030135C">
        <w:rPr>
          <w:rFonts w:eastAsia="Times New Roman"/>
        </w:rPr>
        <w:t>: “</w:t>
      </w:r>
      <w:r w:rsidR="00260C29" w:rsidRPr="0030135C">
        <w:rPr>
          <w:rFonts w:eastAsia="Times New Roman"/>
        </w:rPr>
        <w:t>Ningún</w:t>
      </w:r>
      <w:r w:rsidR="00CD0F0D" w:rsidRPr="0030135C">
        <w:rPr>
          <w:rFonts w:eastAsia="Times New Roman"/>
        </w:rPr>
        <w:t xml:space="preserve"> </w:t>
      </w:r>
      <w:r w:rsidR="00260C29" w:rsidRPr="0030135C">
        <w:rPr>
          <w:rFonts w:eastAsia="Times New Roman"/>
        </w:rPr>
        <w:t>día</w:t>
      </w:r>
      <w:r w:rsidR="00CD0F0D" w:rsidRPr="0030135C">
        <w:rPr>
          <w:rFonts w:eastAsia="Times New Roman"/>
        </w:rPr>
        <w:t xml:space="preserve"> me he debido tanto al servicio de S. M.”</w:t>
      </w:r>
      <w:r w:rsidR="000652B6" w:rsidRPr="0030135C">
        <w:rPr>
          <w:rFonts w:eastAsia="Times New Roman"/>
        </w:rPr>
        <w:t xml:space="preserve"> –escribe-; no hubo </w:t>
      </w:r>
      <w:r w:rsidR="004B7AE7" w:rsidRPr="0030135C">
        <w:rPr>
          <w:rFonts w:eastAsia="Times New Roman"/>
        </w:rPr>
        <w:t>“peligro que yo no buscara para mejorar el estado de la batalla”, perderla no “dependió de mi (…) ni de medios humanos”</w:t>
      </w:r>
      <w:r w:rsidR="004F6638" w:rsidRPr="0030135C">
        <w:rPr>
          <w:rStyle w:val="Marquenotebasdepage"/>
          <w:rFonts w:eastAsia="Times New Roman"/>
        </w:rPr>
        <w:footnoteReference w:id="61"/>
      </w:r>
      <w:r w:rsidR="004B7AE7" w:rsidRPr="0030135C">
        <w:rPr>
          <w:rFonts w:eastAsia="Times New Roman"/>
        </w:rPr>
        <w:t xml:space="preserve">. </w:t>
      </w:r>
      <w:r w:rsidR="004F6638" w:rsidRPr="0030135C">
        <w:rPr>
          <w:rFonts w:eastAsia="Times New Roman"/>
        </w:rPr>
        <w:t>Según Vincart</w:t>
      </w:r>
      <w:r w:rsidR="00BF0B51" w:rsidRPr="0030135C">
        <w:rPr>
          <w:rFonts w:eastAsia="Times New Roman"/>
        </w:rPr>
        <w:t xml:space="preserve"> el éxito de los franceses estuvo en que los escuadrones de caballería venían mezclados con los de infantería</w:t>
      </w:r>
      <w:r w:rsidR="00830E2A" w:rsidRPr="0030135C">
        <w:rPr>
          <w:rFonts w:eastAsia="Times New Roman"/>
        </w:rPr>
        <w:t xml:space="preserve"> </w:t>
      </w:r>
      <w:r w:rsidR="00830E2A" w:rsidRPr="006B3991">
        <w:rPr>
          <w:rFonts w:eastAsia="Times New Roman"/>
        </w:rPr>
        <w:t>(</w:t>
      </w:r>
      <w:r w:rsidR="006B3991" w:rsidRPr="006B3991">
        <w:rPr>
          <w:rFonts w:eastAsia="Times New Roman"/>
        </w:rPr>
        <w:t>figs. 17 y 18</w:t>
      </w:r>
      <w:r w:rsidR="00830E2A" w:rsidRPr="006B3991">
        <w:rPr>
          <w:rFonts w:eastAsia="Times New Roman"/>
        </w:rPr>
        <w:t>)</w:t>
      </w:r>
      <w:r w:rsidR="00BF0B51" w:rsidRPr="0030135C">
        <w:rPr>
          <w:rFonts w:eastAsia="Times New Roman"/>
        </w:rPr>
        <w:t xml:space="preserve">; de tal manera que estando un </w:t>
      </w:r>
      <w:r w:rsidR="008B7AB3" w:rsidRPr="0030135C">
        <w:rPr>
          <w:rFonts w:eastAsia="Times New Roman"/>
        </w:rPr>
        <w:t>escuadrón</w:t>
      </w:r>
      <w:r w:rsidR="00BF0B51" w:rsidRPr="0030135C">
        <w:rPr>
          <w:rFonts w:eastAsia="Times New Roman"/>
        </w:rPr>
        <w:t xml:space="preserve"> de caballería roto, podía retirarse tras la </w:t>
      </w:r>
      <w:r w:rsidR="008B7AB3" w:rsidRPr="0030135C">
        <w:rPr>
          <w:rFonts w:eastAsia="Times New Roman"/>
        </w:rPr>
        <w:t>infantería</w:t>
      </w:r>
      <w:r w:rsidR="00BF0B51" w:rsidRPr="0030135C">
        <w:rPr>
          <w:rFonts w:eastAsia="Times New Roman"/>
        </w:rPr>
        <w:t>, rehacerse y volver a pelear</w:t>
      </w:r>
      <w:r w:rsidR="004F6638" w:rsidRPr="0030135C">
        <w:rPr>
          <w:rStyle w:val="Marquenotebasdepage"/>
          <w:rFonts w:eastAsia="Times New Roman"/>
        </w:rPr>
        <w:footnoteReference w:id="62"/>
      </w:r>
      <w:r w:rsidR="004F6638" w:rsidRPr="0030135C">
        <w:rPr>
          <w:rFonts w:eastAsia="Times New Roman"/>
        </w:rPr>
        <w:t>.</w:t>
      </w:r>
      <w:r w:rsidR="00BF0B51" w:rsidRPr="0030135C">
        <w:rPr>
          <w:rFonts w:eastAsia="Times New Roman"/>
        </w:rPr>
        <w:t xml:space="preserve"> </w:t>
      </w:r>
      <w:r w:rsidR="00E420B2" w:rsidRPr="0030135C">
        <w:rPr>
          <w:rFonts w:eastAsia="Times New Roman"/>
        </w:rPr>
        <w:t xml:space="preserve"> Pero la idea de que Alburquerque era el resp</w:t>
      </w:r>
      <w:r w:rsidR="00126C0A" w:rsidRPr="0030135C">
        <w:rPr>
          <w:rFonts w:eastAsia="Times New Roman"/>
        </w:rPr>
        <w:t>onsable de la derrota estaba presente en Flandes</w:t>
      </w:r>
      <w:r w:rsidR="00126C0A" w:rsidRPr="0030135C">
        <w:rPr>
          <w:rStyle w:val="Marquenotebasdepage"/>
          <w:rFonts w:eastAsia="Times New Roman"/>
        </w:rPr>
        <w:footnoteReference w:id="63"/>
      </w:r>
      <w:r w:rsidR="005A7DFA">
        <w:rPr>
          <w:rFonts w:eastAsia="Times New Roman"/>
        </w:rPr>
        <w:t>. C</w:t>
      </w:r>
      <w:r w:rsidR="006C7906">
        <w:rPr>
          <w:rFonts w:eastAsia="Times New Roman"/>
        </w:rPr>
        <w:t xml:space="preserve">orrieron incluso falsos rumores de que </w:t>
      </w:r>
      <w:r w:rsidR="005A7DFA">
        <w:rPr>
          <w:rFonts w:eastAsia="Times New Roman"/>
        </w:rPr>
        <w:t xml:space="preserve">los españoles habían asesinado a Bucquoy por burlarse de Alburquerque, y culparlo de </w:t>
      </w:r>
      <w:r w:rsidR="004F400B">
        <w:rPr>
          <w:rFonts w:eastAsia="Times New Roman"/>
        </w:rPr>
        <w:t>perder la guerra por</w:t>
      </w:r>
      <w:r w:rsidR="005A7DFA">
        <w:rPr>
          <w:rFonts w:eastAsia="Times New Roman"/>
        </w:rPr>
        <w:t xml:space="preserve"> haberle</w:t>
      </w:r>
      <w:r w:rsidR="006C7906">
        <w:rPr>
          <w:rFonts w:eastAsia="Times New Roman"/>
        </w:rPr>
        <w:t xml:space="preserve"> quitado el puesto</w:t>
      </w:r>
      <w:r w:rsidR="006C7906">
        <w:rPr>
          <w:rStyle w:val="Marquenotebasdepage"/>
          <w:rFonts w:eastAsia="Times New Roman"/>
        </w:rPr>
        <w:footnoteReference w:id="64"/>
      </w:r>
      <w:r w:rsidR="006C7906">
        <w:rPr>
          <w:rFonts w:eastAsia="Times New Roman"/>
        </w:rPr>
        <w:t xml:space="preserve">. </w:t>
      </w:r>
      <w:r w:rsidR="005A7DFA">
        <w:rPr>
          <w:rFonts w:eastAsia="Times New Roman"/>
        </w:rPr>
        <w:t xml:space="preserve">Mientras, </w:t>
      </w:r>
      <w:r w:rsidR="00126C0A" w:rsidRPr="0030135C">
        <w:rPr>
          <w:rFonts w:eastAsia="Times New Roman"/>
        </w:rPr>
        <w:t>en España se desmentía</w:t>
      </w:r>
      <w:r w:rsidR="000652B6" w:rsidRPr="0030135C">
        <w:rPr>
          <w:rFonts w:eastAsia="Times New Roman"/>
        </w:rPr>
        <w:t xml:space="preserve"> </w:t>
      </w:r>
      <w:r w:rsidR="00A75A61" w:rsidRPr="0030135C">
        <w:rPr>
          <w:rFonts w:eastAsia="Times New Roman"/>
        </w:rPr>
        <w:t>“que la caballería dejase de pelear por haberle dado por general a Alburquerque</w:t>
      </w:r>
      <w:r w:rsidR="00865F70" w:rsidRPr="0030135C">
        <w:rPr>
          <w:rFonts w:eastAsia="Times New Roman"/>
        </w:rPr>
        <w:t>”</w:t>
      </w:r>
      <w:r w:rsidR="00A75A61" w:rsidRPr="0030135C">
        <w:rPr>
          <w:rFonts w:eastAsia="Times New Roman"/>
        </w:rPr>
        <w:t xml:space="preserve">, </w:t>
      </w:r>
      <w:r w:rsidR="00126C0A" w:rsidRPr="0030135C">
        <w:rPr>
          <w:rFonts w:eastAsia="Times New Roman"/>
        </w:rPr>
        <w:t>y se afirmaba</w:t>
      </w:r>
      <w:r w:rsidR="00865F70" w:rsidRPr="0030135C">
        <w:rPr>
          <w:rFonts w:eastAsia="Times New Roman"/>
        </w:rPr>
        <w:t xml:space="preserve"> “</w:t>
      </w:r>
      <w:r w:rsidR="00A75A61" w:rsidRPr="0030135C">
        <w:rPr>
          <w:rFonts w:eastAsia="Times New Roman"/>
        </w:rPr>
        <w:t xml:space="preserve">que es señor bien quisto y valiente”, que fue uno de los muchos </w:t>
      </w:r>
      <w:r w:rsidR="00942E9B" w:rsidRPr="0030135C">
        <w:rPr>
          <w:rFonts w:eastAsia="Times New Roman"/>
        </w:rPr>
        <w:t>“</w:t>
      </w:r>
      <w:r w:rsidR="00A75A61" w:rsidRPr="0030135C">
        <w:rPr>
          <w:rFonts w:eastAsia="Times New Roman"/>
        </w:rPr>
        <w:t xml:space="preserve">cabos y personas </w:t>
      </w:r>
      <w:r w:rsidR="00942E9B" w:rsidRPr="0030135C">
        <w:rPr>
          <w:rFonts w:eastAsia="Times New Roman"/>
        </w:rPr>
        <w:t xml:space="preserve">de cuenta </w:t>
      </w:r>
      <w:r w:rsidR="00A75A61" w:rsidRPr="0030135C">
        <w:rPr>
          <w:rFonts w:eastAsia="Times New Roman"/>
        </w:rPr>
        <w:t>que s</w:t>
      </w:r>
      <w:r w:rsidR="00942E9B" w:rsidRPr="0030135C">
        <w:rPr>
          <w:rFonts w:eastAsia="Times New Roman"/>
        </w:rPr>
        <w:t>a</w:t>
      </w:r>
      <w:r w:rsidR="007A2833" w:rsidRPr="0030135C">
        <w:rPr>
          <w:rFonts w:eastAsia="Times New Roman"/>
        </w:rPr>
        <w:t xml:space="preserve">lieron heridos”. Se </w:t>
      </w:r>
      <w:r w:rsidR="00A20E6B" w:rsidRPr="0030135C">
        <w:rPr>
          <w:rFonts w:eastAsia="Times New Roman"/>
        </w:rPr>
        <w:t>culpa</w:t>
      </w:r>
      <w:r w:rsidR="007A2833" w:rsidRPr="0030135C">
        <w:rPr>
          <w:rFonts w:eastAsia="Times New Roman"/>
        </w:rPr>
        <w:t>ba</w:t>
      </w:r>
      <w:r w:rsidR="00A20E6B" w:rsidRPr="0030135C">
        <w:rPr>
          <w:rFonts w:eastAsia="Times New Roman"/>
        </w:rPr>
        <w:t xml:space="preserve"> de la der</w:t>
      </w:r>
      <w:r w:rsidR="00126C0A" w:rsidRPr="0030135C">
        <w:rPr>
          <w:rFonts w:eastAsia="Times New Roman"/>
        </w:rPr>
        <w:t xml:space="preserve">rota al “improviso”, que fue lo </w:t>
      </w:r>
      <w:r w:rsidR="00A20E6B" w:rsidRPr="0030135C">
        <w:rPr>
          <w:rFonts w:eastAsia="Times New Roman"/>
        </w:rPr>
        <w:t>que</w:t>
      </w:r>
      <w:r w:rsidR="00942E9B" w:rsidRPr="0030135C">
        <w:rPr>
          <w:rFonts w:eastAsia="Times New Roman"/>
        </w:rPr>
        <w:t xml:space="preserve"> “los agallinó</w:t>
      </w:r>
      <w:r w:rsidR="00A20E6B" w:rsidRPr="0030135C">
        <w:rPr>
          <w:rFonts w:eastAsia="Times New Roman"/>
        </w:rPr>
        <w:t>”</w:t>
      </w:r>
      <w:r w:rsidR="007A2833" w:rsidRPr="0030135C">
        <w:rPr>
          <w:rFonts w:eastAsia="Times New Roman"/>
        </w:rPr>
        <w:t xml:space="preserve"> –se dijo</w:t>
      </w:r>
      <w:r w:rsidR="0089726C" w:rsidRPr="0030135C">
        <w:rPr>
          <w:rStyle w:val="Marquenotebasdepage"/>
          <w:rFonts w:eastAsia="Times New Roman"/>
        </w:rPr>
        <w:footnoteReference w:id="65"/>
      </w:r>
      <w:r w:rsidR="00942E9B" w:rsidRPr="0030135C">
        <w:rPr>
          <w:rFonts w:eastAsia="Times New Roman"/>
        </w:rPr>
        <w:t xml:space="preserve">. </w:t>
      </w:r>
      <w:r w:rsidR="00A75A61" w:rsidRPr="0030135C">
        <w:rPr>
          <w:rFonts w:eastAsia="Times New Roman"/>
        </w:rPr>
        <w:t xml:space="preserve"> </w:t>
      </w:r>
      <w:r w:rsidR="005C4807" w:rsidRPr="0030135C">
        <w:rPr>
          <w:rFonts w:eastAsia="Times New Roman"/>
        </w:rPr>
        <w:t xml:space="preserve">En cualquier caso, tras la pérdida en </w:t>
      </w:r>
      <w:r w:rsidR="00622326" w:rsidRPr="0030135C">
        <w:rPr>
          <w:rFonts w:eastAsia="Times New Roman"/>
        </w:rPr>
        <w:t>la batall</w:t>
      </w:r>
      <w:r w:rsidR="00B0514D" w:rsidRPr="0030135C">
        <w:rPr>
          <w:rFonts w:eastAsia="Times New Roman"/>
        </w:rPr>
        <w:t>a de Rocroi</w:t>
      </w:r>
      <w:r w:rsidR="00DF4F49" w:rsidRPr="0030135C">
        <w:rPr>
          <w:rFonts w:eastAsia="Times New Roman"/>
        </w:rPr>
        <w:t>,</w:t>
      </w:r>
      <w:r w:rsidR="00622326" w:rsidRPr="0030135C">
        <w:rPr>
          <w:rFonts w:eastAsia="Times New Roman"/>
        </w:rPr>
        <w:t xml:space="preserve"> </w:t>
      </w:r>
      <w:r w:rsidR="00DF4F49" w:rsidRPr="0030135C">
        <w:rPr>
          <w:rFonts w:eastAsia="Times New Roman"/>
        </w:rPr>
        <w:t xml:space="preserve">el </w:t>
      </w:r>
      <w:r w:rsidR="00686FC3" w:rsidRPr="0030135C">
        <w:rPr>
          <w:rFonts w:eastAsia="Times New Roman"/>
        </w:rPr>
        <w:t>Rey</w:t>
      </w:r>
      <w:r w:rsidR="00622326" w:rsidRPr="0030135C">
        <w:rPr>
          <w:rFonts w:eastAsia="Times New Roman"/>
        </w:rPr>
        <w:t xml:space="preserve"> recibió buenos informes sobre</w:t>
      </w:r>
      <w:r w:rsidR="00686FC3" w:rsidRPr="0030135C">
        <w:rPr>
          <w:rFonts w:eastAsia="Times New Roman"/>
        </w:rPr>
        <w:t xml:space="preserve"> Alburquerque </w:t>
      </w:r>
      <w:r w:rsidR="00364B61" w:rsidRPr="0030135C">
        <w:rPr>
          <w:rFonts w:eastAsia="Times New Roman"/>
        </w:rPr>
        <w:t>y le escribió</w:t>
      </w:r>
      <w:r w:rsidR="00622326" w:rsidRPr="0030135C">
        <w:rPr>
          <w:rFonts w:eastAsia="Times New Roman"/>
        </w:rPr>
        <w:t xml:space="preserve"> </w:t>
      </w:r>
      <w:r w:rsidR="00861769" w:rsidRPr="0030135C">
        <w:rPr>
          <w:rFonts w:eastAsia="Times New Roman"/>
        </w:rPr>
        <w:t>agradeciéndole</w:t>
      </w:r>
      <w:r w:rsidR="00622326" w:rsidRPr="0030135C">
        <w:rPr>
          <w:rFonts w:eastAsia="Times New Roman"/>
        </w:rPr>
        <w:t xml:space="preserve"> “el valor y zelo de mi servicio que mostrays en todas ocasiones”, e</w:t>
      </w:r>
      <w:r w:rsidR="00364B61" w:rsidRPr="0030135C">
        <w:rPr>
          <w:rFonts w:eastAsia="Times New Roman"/>
        </w:rPr>
        <w:t>sperando que su “exemplo animará</w:t>
      </w:r>
      <w:r w:rsidR="00622326" w:rsidRPr="0030135C">
        <w:rPr>
          <w:rFonts w:eastAsia="Times New Roman"/>
        </w:rPr>
        <w:t xml:space="preserve"> á todos á cumplir con sus obligaciones”</w:t>
      </w:r>
      <w:r w:rsidR="00622326" w:rsidRPr="0030135C">
        <w:rPr>
          <w:rStyle w:val="Marquenotebasdepage"/>
          <w:rFonts w:eastAsia="Times New Roman"/>
        </w:rPr>
        <w:footnoteReference w:id="66"/>
      </w:r>
      <w:r w:rsidR="00622326" w:rsidRPr="0030135C">
        <w:rPr>
          <w:rFonts w:eastAsia="Times New Roman"/>
        </w:rPr>
        <w:t xml:space="preserve">. </w:t>
      </w:r>
    </w:p>
    <w:p w14:paraId="1C1099DF" w14:textId="5BDB79BD" w:rsidR="005C4807" w:rsidRPr="0030135C" w:rsidRDefault="00697722" w:rsidP="0030135C">
      <w:pPr>
        <w:spacing w:line="360" w:lineRule="auto"/>
        <w:jc w:val="both"/>
        <w:rPr>
          <w:rFonts w:eastAsia="Times New Roman"/>
        </w:rPr>
      </w:pPr>
      <w:r w:rsidRPr="0030135C">
        <w:rPr>
          <w:rFonts w:eastAsia="Times New Roman"/>
        </w:rPr>
        <w:t>Alburquerque, por su parte</w:t>
      </w:r>
      <w:r w:rsidR="00AE26C5" w:rsidRPr="0030135C">
        <w:rPr>
          <w:rFonts w:eastAsia="Times New Roman"/>
        </w:rPr>
        <w:t>,</w:t>
      </w:r>
      <w:r w:rsidRPr="0030135C">
        <w:rPr>
          <w:rFonts w:eastAsia="Times New Roman"/>
        </w:rPr>
        <w:t xml:space="preserve"> </w:t>
      </w:r>
      <w:r w:rsidR="007A2833" w:rsidRPr="0030135C">
        <w:rPr>
          <w:rFonts w:eastAsia="Times New Roman"/>
        </w:rPr>
        <w:t xml:space="preserve">a los pocos días de la </w:t>
      </w:r>
      <w:r w:rsidR="00D826AF">
        <w:rPr>
          <w:rFonts w:eastAsia="Times New Roman"/>
        </w:rPr>
        <w:t>batalla</w:t>
      </w:r>
      <w:r w:rsidR="007A2833" w:rsidRPr="0030135C">
        <w:rPr>
          <w:rFonts w:eastAsia="Times New Roman"/>
        </w:rPr>
        <w:t xml:space="preserve"> había escrito</w:t>
      </w:r>
      <w:r w:rsidRPr="0030135C">
        <w:rPr>
          <w:rFonts w:eastAsia="Times New Roman"/>
        </w:rPr>
        <w:t xml:space="preserve"> a Olivares </w:t>
      </w:r>
      <w:r w:rsidR="00391B64" w:rsidRPr="0030135C">
        <w:rPr>
          <w:rFonts w:eastAsia="Times New Roman"/>
        </w:rPr>
        <w:t xml:space="preserve">una larga carta en la que </w:t>
      </w:r>
      <w:r w:rsidR="00AE26C5" w:rsidRPr="0030135C">
        <w:rPr>
          <w:rFonts w:eastAsia="Times New Roman"/>
        </w:rPr>
        <w:t>relata</w:t>
      </w:r>
      <w:r w:rsidR="007A2833" w:rsidRPr="0030135C">
        <w:rPr>
          <w:rFonts w:eastAsia="Times New Roman"/>
        </w:rPr>
        <w:t>ba</w:t>
      </w:r>
      <w:r w:rsidR="00391B64" w:rsidRPr="0030135C">
        <w:rPr>
          <w:rFonts w:eastAsia="Times New Roman"/>
        </w:rPr>
        <w:t xml:space="preserve"> </w:t>
      </w:r>
      <w:r w:rsidR="00E90773" w:rsidRPr="0030135C">
        <w:rPr>
          <w:rFonts w:eastAsia="Times New Roman"/>
        </w:rPr>
        <w:t>su vivencia</w:t>
      </w:r>
      <w:r w:rsidRPr="0030135C">
        <w:rPr>
          <w:rFonts w:eastAsia="Times New Roman"/>
        </w:rPr>
        <w:t xml:space="preserve">, pidiéndole que </w:t>
      </w:r>
      <w:r w:rsidR="00391B64" w:rsidRPr="0030135C">
        <w:rPr>
          <w:rFonts w:eastAsia="Times New Roman"/>
        </w:rPr>
        <w:t xml:space="preserve">la </w:t>
      </w:r>
      <w:r w:rsidRPr="0030135C">
        <w:rPr>
          <w:rFonts w:eastAsia="Times New Roman"/>
        </w:rPr>
        <w:t xml:space="preserve">divulgara para que </w:t>
      </w:r>
      <w:r w:rsidR="00AE26C5" w:rsidRPr="0030135C">
        <w:rPr>
          <w:rFonts w:eastAsia="Times New Roman"/>
        </w:rPr>
        <w:t>la verdad fuera conocida</w:t>
      </w:r>
      <w:r w:rsidRPr="0030135C">
        <w:rPr>
          <w:rFonts w:eastAsia="Times New Roman"/>
        </w:rPr>
        <w:t xml:space="preserve"> por todos</w:t>
      </w:r>
      <w:r w:rsidR="00241839" w:rsidRPr="0030135C">
        <w:rPr>
          <w:rStyle w:val="Marquenotebasdepage"/>
          <w:rFonts w:eastAsia="Times New Roman"/>
        </w:rPr>
        <w:footnoteReference w:id="67"/>
      </w:r>
      <w:r w:rsidRPr="0030135C">
        <w:rPr>
          <w:rFonts w:eastAsia="Times New Roman"/>
        </w:rPr>
        <w:t xml:space="preserve">. Le echa la culpa </w:t>
      </w:r>
      <w:r w:rsidR="00353811" w:rsidRPr="0030135C">
        <w:rPr>
          <w:rFonts w:eastAsia="Times New Roman"/>
        </w:rPr>
        <w:t xml:space="preserve">de la derrota </w:t>
      </w:r>
      <w:r w:rsidRPr="0030135C">
        <w:rPr>
          <w:rFonts w:eastAsia="Times New Roman"/>
        </w:rPr>
        <w:t>a Fontana</w:t>
      </w:r>
      <w:r w:rsidR="00353811" w:rsidRPr="0030135C">
        <w:rPr>
          <w:rStyle w:val="Marquenotebasdepage"/>
          <w:rFonts w:eastAsia="Times New Roman"/>
        </w:rPr>
        <w:footnoteReference w:id="68"/>
      </w:r>
      <w:r w:rsidR="00176B46" w:rsidRPr="0030135C">
        <w:rPr>
          <w:rFonts w:eastAsia="Times New Roman"/>
        </w:rPr>
        <w:t>, a quien dice “Dios le</w:t>
      </w:r>
      <w:r w:rsidRPr="0030135C">
        <w:rPr>
          <w:rFonts w:eastAsia="Times New Roman"/>
        </w:rPr>
        <w:t xml:space="preserve"> auia dado cie</w:t>
      </w:r>
      <w:r w:rsidR="00241839" w:rsidRPr="0030135C">
        <w:rPr>
          <w:rFonts w:eastAsia="Times New Roman"/>
        </w:rPr>
        <w:t>ncia infusa para herrarlo todo”. Añade que con decir que dirigía sus ejércitos desde una silla</w:t>
      </w:r>
      <w:r w:rsidR="00FD5C6F" w:rsidRPr="0030135C">
        <w:rPr>
          <w:rFonts w:eastAsia="Times New Roman"/>
        </w:rPr>
        <w:t xml:space="preserve"> </w:t>
      </w:r>
      <w:r w:rsidR="00FD5C6F" w:rsidRPr="004F400B">
        <w:rPr>
          <w:rFonts w:eastAsia="Times New Roman"/>
        </w:rPr>
        <w:t>(</w:t>
      </w:r>
      <w:r w:rsidR="006929FB" w:rsidRPr="004F400B">
        <w:rPr>
          <w:rFonts w:eastAsia="Times New Roman"/>
        </w:rPr>
        <w:t>fig. 12</w:t>
      </w:r>
      <w:r w:rsidR="00FD5C6F" w:rsidRPr="004F400B">
        <w:rPr>
          <w:rFonts w:eastAsia="Times New Roman"/>
        </w:rPr>
        <w:t>)</w:t>
      </w:r>
      <w:r w:rsidR="00241839" w:rsidRPr="004F400B">
        <w:rPr>
          <w:rFonts w:eastAsia="Times New Roman"/>
        </w:rPr>
        <w:t>,</w:t>
      </w:r>
      <w:r w:rsidR="00241839" w:rsidRPr="0030135C">
        <w:rPr>
          <w:rFonts w:eastAsia="Times New Roman"/>
        </w:rPr>
        <w:t xml:space="preserve"> “está dicho todo”</w:t>
      </w:r>
      <w:r w:rsidR="00241839" w:rsidRPr="0030135C">
        <w:rPr>
          <w:rStyle w:val="Marquenotebasdepage"/>
          <w:rFonts w:eastAsia="Times New Roman"/>
        </w:rPr>
        <w:footnoteReference w:id="69"/>
      </w:r>
      <w:r w:rsidR="00AE26C5" w:rsidRPr="0030135C">
        <w:rPr>
          <w:rFonts w:eastAsia="Times New Roman"/>
        </w:rPr>
        <w:t xml:space="preserve">. </w:t>
      </w:r>
      <w:r w:rsidR="00FF6539" w:rsidRPr="0030135C">
        <w:rPr>
          <w:rFonts w:eastAsia="Times New Roman"/>
        </w:rPr>
        <w:t>Alburquerque</w:t>
      </w:r>
      <w:r w:rsidR="00AE26C5" w:rsidRPr="0030135C">
        <w:rPr>
          <w:rFonts w:eastAsia="Times New Roman"/>
        </w:rPr>
        <w:t xml:space="preserve"> asegura que Fontana era “tan porfiado” que no escuchaba sus advertencias de los peligros, y</w:t>
      </w:r>
      <w:r w:rsidR="00176B46" w:rsidRPr="0030135C">
        <w:rPr>
          <w:rFonts w:eastAsia="Times New Roman"/>
        </w:rPr>
        <w:t xml:space="preserve"> que todas salieron verdadera</w:t>
      </w:r>
      <w:r w:rsidR="00391B64" w:rsidRPr="0030135C">
        <w:rPr>
          <w:rFonts w:eastAsia="Times New Roman"/>
        </w:rPr>
        <w:t>s</w:t>
      </w:r>
      <w:r w:rsidR="00176B46" w:rsidRPr="0030135C">
        <w:rPr>
          <w:rFonts w:eastAsia="Times New Roman"/>
        </w:rPr>
        <w:t>. Critica la mala forma “con que estaba dispuesto el ejército, que parece imposible que pudiese herrar un niño</w:t>
      </w:r>
      <w:r w:rsidR="00FF6539" w:rsidRPr="0030135C">
        <w:rPr>
          <w:rFonts w:eastAsia="Times New Roman"/>
        </w:rPr>
        <w:t xml:space="preserve">, </w:t>
      </w:r>
      <w:r w:rsidR="00176B46" w:rsidRPr="0030135C">
        <w:rPr>
          <w:rFonts w:eastAsia="Times New Roman"/>
        </w:rPr>
        <w:t xml:space="preserve">quanto mas un hombre tan viejo </w:t>
      </w:r>
      <w:r w:rsidR="00391B64" w:rsidRPr="0030135C">
        <w:rPr>
          <w:rFonts w:eastAsia="Times New Roman"/>
        </w:rPr>
        <w:t>como Fontana”</w:t>
      </w:r>
      <w:r w:rsidR="00391B64" w:rsidRPr="0030135C">
        <w:rPr>
          <w:rStyle w:val="Marquenotebasdepage"/>
          <w:rFonts w:eastAsia="Times New Roman"/>
        </w:rPr>
        <w:footnoteReference w:id="70"/>
      </w:r>
      <w:r w:rsidR="004F6B5C" w:rsidRPr="0030135C">
        <w:rPr>
          <w:rFonts w:eastAsia="Times New Roman"/>
        </w:rPr>
        <w:t xml:space="preserve">. Alburquerque </w:t>
      </w:r>
      <w:r w:rsidR="00E90773" w:rsidRPr="0030135C">
        <w:rPr>
          <w:rFonts w:eastAsia="Times New Roman"/>
        </w:rPr>
        <w:t xml:space="preserve">afirma que </w:t>
      </w:r>
      <w:r w:rsidR="00176B46" w:rsidRPr="0030135C">
        <w:rPr>
          <w:rFonts w:eastAsia="Times New Roman"/>
        </w:rPr>
        <w:t>Fontana “nunca se persuadía a que el enemigo nos a</w:t>
      </w:r>
      <w:r w:rsidR="00391B64" w:rsidRPr="0030135C">
        <w:rPr>
          <w:rFonts w:eastAsia="Times New Roman"/>
        </w:rPr>
        <w:t>uia de dar la batalla”</w:t>
      </w:r>
      <w:r w:rsidR="004F6B5C" w:rsidRPr="0030135C">
        <w:rPr>
          <w:rFonts w:eastAsia="Times New Roman"/>
        </w:rPr>
        <w:t xml:space="preserve">, y </w:t>
      </w:r>
      <w:r w:rsidR="00E90773" w:rsidRPr="0030135C">
        <w:rPr>
          <w:rFonts w:eastAsia="Times New Roman"/>
        </w:rPr>
        <w:t xml:space="preserve">que </w:t>
      </w:r>
      <w:r w:rsidR="004F6B5C" w:rsidRPr="0030135C">
        <w:rPr>
          <w:rFonts w:eastAsia="Times New Roman"/>
        </w:rPr>
        <w:t>como no le hizo caso cuando le aconsejó</w:t>
      </w:r>
      <w:r w:rsidR="000652B6" w:rsidRPr="0030135C">
        <w:rPr>
          <w:rFonts w:eastAsia="Times New Roman"/>
        </w:rPr>
        <w:t xml:space="preserve"> </w:t>
      </w:r>
      <w:r w:rsidR="00176B46" w:rsidRPr="0030135C">
        <w:rPr>
          <w:rFonts w:eastAsia="Times New Roman"/>
        </w:rPr>
        <w:t>disponerlos mezclando los batallones</w:t>
      </w:r>
      <w:r w:rsidR="004F6B5C" w:rsidRPr="0030135C">
        <w:rPr>
          <w:rFonts w:eastAsia="Times New Roman"/>
        </w:rPr>
        <w:t>, avisó a sus capitanes: “Presto veremos que el enemigo nos ataca y nos corta ganándonos la ret</w:t>
      </w:r>
      <w:r w:rsidR="00391B64" w:rsidRPr="0030135C">
        <w:rPr>
          <w:rFonts w:eastAsia="Times New Roman"/>
        </w:rPr>
        <w:t>aguardia y la victoria”</w:t>
      </w:r>
      <w:r w:rsidR="008555D5" w:rsidRPr="0030135C">
        <w:rPr>
          <w:rFonts w:eastAsia="Times New Roman"/>
        </w:rPr>
        <w:t>;</w:t>
      </w:r>
      <w:r w:rsidR="004F6B5C" w:rsidRPr="0030135C">
        <w:rPr>
          <w:rFonts w:eastAsia="Times New Roman"/>
        </w:rPr>
        <w:t xml:space="preserve"> lo que sucedió</w:t>
      </w:r>
      <w:r w:rsidR="00353811" w:rsidRPr="0030135C">
        <w:rPr>
          <w:rFonts w:eastAsia="Times New Roman"/>
        </w:rPr>
        <w:t xml:space="preserve"> “al pie de la letra”</w:t>
      </w:r>
      <w:r w:rsidR="00391B64" w:rsidRPr="0030135C">
        <w:rPr>
          <w:rStyle w:val="Marquenotebasdepage"/>
          <w:rFonts w:eastAsia="Times New Roman"/>
        </w:rPr>
        <w:footnoteReference w:id="71"/>
      </w:r>
      <w:r w:rsidR="00353811" w:rsidRPr="0030135C">
        <w:rPr>
          <w:rFonts w:eastAsia="Times New Roman"/>
        </w:rPr>
        <w:t xml:space="preserve">. </w:t>
      </w:r>
      <w:r w:rsidR="00DE2709" w:rsidRPr="0030135C">
        <w:rPr>
          <w:rFonts w:eastAsia="Times New Roman"/>
        </w:rPr>
        <w:t>Los grabados franceses muestran que no hicieron caso a Alburquerque en la organización de los batallones, que aparecen ag</w:t>
      </w:r>
      <w:r w:rsidR="00830E2A" w:rsidRPr="0030135C">
        <w:rPr>
          <w:rFonts w:eastAsia="Times New Roman"/>
        </w:rPr>
        <w:t>rupados, mientras que los francese</w:t>
      </w:r>
      <w:r w:rsidR="00DE2709" w:rsidRPr="0030135C">
        <w:rPr>
          <w:rFonts w:eastAsia="Times New Roman"/>
        </w:rPr>
        <w:t>s están mezclados</w:t>
      </w:r>
      <w:r w:rsidR="00DE2709" w:rsidRPr="0030135C">
        <w:rPr>
          <w:rStyle w:val="Marquenotebasdepage"/>
          <w:rFonts w:eastAsia="Times New Roman"/>
        </w:rPr>
        <w:footnoteReference w:id="72"/>
      </w:r>
      <w:r w:rsidR="001A6BFD" w:rsidRPr="0030135C">
        <w:rPr>
          <w:rFonts w:eastAsia="Times New Roman"/>
        </w:rPr>
        <w:t xml:space="preserve"> </w:t>
      </w:r>
      <w:r w:rsidR="001A6BFD" w:rsidRPr="004F400B">
        <w:rPr>
          <w:rFonts w:eastAsia="Times New Roman"/>
        </w:rPr>
        <w:t>(fig</w:t>
      </w:r>
      <w:r w:rsidR="004F400B" w:rsidRPr="004F400B">
        <w:rPr>
          <w:rFonts w:eastAsia="Times New Roman"/>
        </w:rPr>
        <w:t>s</w:t>
      </w:r>
      <w:r w:rsidR="001A6BFD" w:rsidRPr="004F400B">
        <w:rPr>
          <w:rFonts w:eastAsia="Times New Roman"/>
        </w:rPr>
        <w:t>. 17 y 18)</w:t>
      </w:r>
      <w:r w:rsidR="00DE2709" w:rsidRPr="004F400B">
        <w:rPr>
          <w:rFonts w:eastAsia="Times New Roman"/>
        </w:rPr>
        <w:t>.</w:t>
      </w:r>
      <w:r w:rsidR="001A6BFD" w:rsidRPr="0030135C">
        <w:rPr>
          <w:rFonts w:eastAsia="Times New Roman"/>
        </w:rPr>
        <w:t xml:space="preserve"> Aunque a</w:t>
      </w:r>
      <w:r w:rsidR="00DE2709" w:rsidRPr="0030135C">
        <w:rPr>
          <w:rFonts w:eastAsia="Times New Roman"/>
        </w:rPr>
        <w:t xml:space="preserve"> caballo</w:t>
      </w:r>
      <w:r w:rsidR="001A6BFD" w:rsidRPr="0030135C">
        <w:rPr>
          <w:rFonts w:eastAsia="Times New Roman"/>
        </w:rPr>
        <w:t xml:space="preserve"> dirigiendo a los suyos,</w:t>
      </w:r>
      <w:r w:rsidR="00DE2709" w:rsidRPr="0030135C">
        <w:rPr>
          <w:rFonts w:eastAsia="Times New Roman"/>
        </w:rPr>
        <w:t xml:space="preserve"> </w:t>
      </w:r>
      <w:r w:rsidR="00353811" w:rsidRPr="0030135C">
        <w:rPr>
          <w:rFonts w:eastAsia="Times New Roman"/>
        </w:rPr>
        <w:t xml:space="preserve">Alburquerque sabía que la batalla “estaba perdida desde que se puso el exercito en forma de pelear, o, por mejor decir, en forma de muestra, pues Fontana no le puso </w:t>
      </w:r>
      <w:r w:rsidR="008555D5" w:rsidRPr="0030135C">
        <w:rPr>
          <w:rFonts w:eastAsia="Times New Roman"/>
        </w:rPr>
        <w:t xml:space="preserve">mas que para mostralle”; </w:t>
      </w:r>
      <w:r w:rsidR="00391B64" w:rsidRPr="0030135C">
        <w:rPr>
          <w:rFonts w:eastAsia="Times New Roman"/>
        </w:rPr>
        <w:t xml:space="preserve">y se lamenta </w:t>
      </w:r>
      <w:r w:rsidR="00FF6539" w:rsidRPr="0030135C">
        <w:rPr>
          <w:rFonts w:eastAsia="Times New Roman"/>
        </w:rPr>
        <w:t>“de au</w:t>
      </w:r>
      <w:r w:rsidR="00353811" w:rsidRPr="0030135C">
        <w:rPr>
          <w:rFonts w:eastAsia="Times New Roman"/>
        </w:rPr>
        <w:t>e</w:t>
      </w:r>
      <w:r w:rsidR="00D07CD1" w:rsidRPr="0030135C">
        <w:rPr>
          <w:rFonts w:eastAsia="Times New Roman"/>
        </w:rPr>
        <w:t>rlo visto obrar tan mal y el au</w:t>
      </w:r>
      <w:r w:rsidR="00353811" w:rsidRPr="0030135C">
        <w:rPr>
          <w:rFonts w:eastAsia="Times New Roman"/>
        </w:rPr>
        <w:t>er dad</w:t>
      </w:r>
      <w:r w:rsidR="0005057A" w:rsidRPr="0030135C">
        <w:rPr>
          <w:rFonts w:eastAsia="Times New Roman"/>
        </w:rPr>
        <w:t>o mis consejos en vano”</w:t>
      </w:r>
      <w:r w:rsidR="00391B64" w:rsidRPr="0030135C">
        <w:rPr>
          <w:rStyle w:val="Marquenotebasdepage"/>
          <w:rFonts w:eastAsia="Times New Roman"/>
        </w:rPr>
        <w:footnoteReference w:id="73"/>
      </w:r>
      <w:r w:rsidR="0005057A" w:rsidRPr="0030135C">
        <w:rPr>
          <w:rFonts w:eastAsia="Times New Roman"/>
        </w:rPr>
        <w:t xml:space="preserve">. </w:t>
      </w:r>
      <w:r w:rsidR="004F400B">
        <w:rPr>
          <w:rFonts w:eastAsia="Times New Roman"/>
        </w:rPr>
        <w:t>Subraya</w:t>
      </w:r>
      <w:r w:rsidR="0005057A" w:rsidRPr="0030135C">
        <w:rPr>
          <w:rFonts w:eastAsia="Times New Roman"/>
        </w:rPr>
        <w:t xml:space="preserve"> el valor de lo</w:t>
      </w:r>
      <w:r w:rsidR="00830E2A" w:rsidRPr="0030135C">
        <w:rPr>
          <w:rFonts w:eastAsia="Times New Roman"/>
        </w:rPr>
        <w:t>s españoles, en especial de su T</w:t>
      </w:r>
      <w:r w:rsidR="0005057A" w:rsidRPr="0030135C">
        <w:rPr>
          <w:rFonts w:eastAsia="Times New Roman"/>
        </w:rPr>
        <w:t xml:space="preserve">ercio </w:t>
      </w:r>
      <w:r w:rsidR="00FF6539" w:rsidRPr="0030135C">
        <w:rPr>
          <w:rFonts w:eastAsia="Times New Roman"/>
        </w:rPr>
        <w:t>“a quien llaman en Francia el ‘petit chapeau’</w:t>
      </w:r>
      <w:r w:rsidR="0005057A" w:rsidRPr="0030135C">
        <w:rPr>
          <w:rFonts w:eastAsia="Times New Roman"/>
        </w:rPr>
        <w:t xml:space="preserve"> por la firmeza con que se defendió</w:t>
      </w:r>
      <w:r w:rsidR="00E90773" w:rsidRPr="0030135C">
        <w:rPr>
          <w:rFonts w:eastAsia="Times New Roman"/>
        </w:rPr>
        <w:t xml:space="preserve"> siempre”. P</w:t>
      </w:r>
      <w:r w:rsidR="00FF6539" w:rsidRPr="0030135C">
        <w:rPr>
          <w:rFonts w:eastAsia="Times New Roman"/>
        </w:rPr>
        <w:t xml:space="preserve">ara terminar </w:t>
      </w:r>
      <w:r w:rsidR="00005438" w:rsidRPr="0030135C">
        <w:rPr>
          <w:rFonts w:eastAsia="Times New Roman"/>
        </w:rPr>
        <w:t>confiesa no tener ningún escrúpulo en su conciencia, maldic</w:t>
      </w:r>
      <w:r w:rsidR="00E90773" w:rsidRPr="0030135C">
        <w:rPr>
          <w:rFonts w:eastAsia="Times New Roman"/>
        </w:rPr>
        <w:t>e</w:t>
      </w:r>
      <w:r w:rsidR="00005438" w:rsidRPr="0030135C">
        <w:rPr>
          <w:rFonts w:eastAsia="Times New Roman"/>
        </w:rPr>
        <w:t xml:space="preserve"> a Fontana</w:t>
      </w:r>
      <w:r w:rsidR="00005438" w:rsidRPr="0030135C">
        <w:rPr>
          <w:rStyle w:val="Marquenotebasdepage"/>
          <w:rFonts w:eastAsia="Times New Roman"/>
        </w:rPr>
        <w:footnoteReference w:id="74"/>
      </w:r>
      <w:r w:rsidR="00E90773" w:rsidRPr="0030135C">
        <w:rPr>
          <w:rFonts w:eastAsia="Times New Roman"/>
        </w:rPr>
        <w:t xml:space="preserve"> y se defiende</w:t>
      </w:r>
      <w:r w:rsidR="00005438" w:rsidRPr="0030135C">
        <w:rPr>
          <w:rFonts w:eastAsia="Times New Roman"/>
        </w:rPr>
        <w:t xml:space="preserve">: </w:t>
      </w:r>
      <w:r w:rsidR="0005057A" w:rsidRPr="0030135C">
        <w:rPr>
          <w:rFonts w:eastAsia="Times New Roman"/>
        </w:rPr>
        <w:t xml:space="preserve">“no fui llamado a consejo, ni quisieron tomar el </w:t>
      </w:r>
      <w:r w:rsidR="00FF6539" w:rsidRPr="0030135C">
        <w:rPr>
          <w:rFonts w:eastAsia="Times New Roman"/>
        </w:rPr>
        <w:t>mío</w:t>
      </w:r>
      <w:r w:rsidR="00005438" w:rsidRPr="0030135C">
        <w:rPr>
          <w:rFonts w:eastAsia="Times New Roman"/>
        </w:rPr>
        <w:t xml:space="preserve">, </w:t>
      </w:r>
      <w:r w:rsidR="0005057A" w:rsidRPr="0030135C">
        <w:rPr>
          <w:rFonts w:eastAsia="Times New Roman"/>
        </w:rPr>
        <w:t>ni pude hacer mas ni menos de lo que hice”</w:t>
      </w:r>
      <w:r w:rsidR="00005438" w:rsidRPr="0030135C">
        <w:rPr>
          <w:rStyle w:val="Marquenotebasdepage"/>
          <w:rFonts w:eastAsia="Times New Roman"/>
        </w:rPr>
        <w:footnoteReference w:id="75"/>
      </w:r>
      <w:r w:rsidR="00005438" w:rsidRPr="0030135C">
        <w:rPr>
          <w:rFonts w:eastAsia="Times New Roman"/>
        </w:rPr>
        <w:t xml:space="preserve">. </w:t>
      </w:r>
    </w:p>
    <w:p w14:paraId="7BD740E4" w14:textId="2F607808" w:rsidR="00847CDD" w:rsidRPr="0030135C" w:rsidRDefault="00F22297" w:rsidP="0030135C">
      <w:pPr>
        <w:spacing w:line="360" w:lineRule="auto"/>
        <w:jc w:val="both"/>
        <w:rPr>
          <w:rFonts w:eastAsia="Times New Roman"/>
        </w:rPr>
      </w:pPr>
      <w:r w:rsidRPr="0030135C">
        <w:rPr>
          <w:rFonts w:eastAsia="Times New Roman"/>
        </w:rPr>
        <w:t>Alburquerque</w:t>
      </w:r>
      <w:r w:rsidR="00E90773" w:rsidRPr="0030135C">
        <w:rPr>
          <w:rFonts w:eastAsia="Times New Roman"/>
        </w:rPr>
        <w:t xml:space="preserve"> </w:t>
      </w:r>
      <w:r w:rsidRPr="0030135C">
        <w:rPr>
          <w:rFonts w:eastAsia="Times New Roman"/>
        </w:rPr>
        <w:t>continuó al mando de la</w:t>
      </w:r>
      <w:r w:rsidR="00E90773" w:rsidRPr="0030135C">
        <w:rPr>
          <w:rFonts w:eastAsia="Times New Roman"/>
        </w:rPr>
        <w:t xml:space="preserve"> </w:t>
      </w:r>
      <w:r w:rsidRPr="0030135C">
        <w:rPr>
          <w:rFonts w:eastAsia="Times New Roman"/>
        </w:rPr>
        <w:t>Caballería</w:t>
      </w:r>
      <w:r w:rsidR="00E90773" w:rsidRPr="0030135C">
        <w:rPr>
          <w:rFonts w:eastAsia="Times New Roman"/>
        </w:rPr>
        <w:t xml:space="preserve"> durante el mes de junio, cuando franceses y españoles</w:t>
      </w:r>
      <w:r w:rsidR="009F2528" w:rsidRPr="0030135C">
        <w:rPr>
          <w:rFonts w:eastAsia="Times New Roman"/>
        </w:rPr>
        <w:t xml:space="preserve"> se enfrentar</w:t>
      </w:r>
      <w:r w:rsidR="00E90773" w:rsidRPr="0030135C">
        <w:rPr>
          <w:rFonts w:eastAsia="Times New Roman"/>
        </w:rPr>
        <w:t xml:space="preserve">on de nuevo </w:t>
      </w:r>
      <w:r w:rsidR="000B2290" w:rsidRPr="0030135C">
        <w:rPr>
          <w:rFonts w:eastAsia="Times New Roman"/>
        </w:rPr>
        <w:t xml:space="preserve">en Thionville, con el resultado de la derrota española, al tiempo que vencieron a los holandeses en Entheneu, con </w:t>
      </w:r>
      <w:r w:rsidR="009F39BD">
        <w:rPr>
          <w:rFonts w:eastAsia="Times New Roman"/>
        </w:rPr>
        <w:t>la intervención</w:t>
      </w:r>
      <w:r w:rsidR="000B2290" w:rsidRPr="0030135C">
        <w:rPr>
          <w:rFonts w:eastAsia="Times New Roman"/>
        </w:rPr>
        <w:t xml:space="preserve"> de Cantelmo</w:t>
      </w:r>
      <w:r w:rsidR="000B2290" w:rsidRPr="0030135C">
        <w:rPr>
          <w:rStyle w:val="Marquenotebasdepage"/>
          <w:rFonts w:eastAsia="Times New Roman"/>
        </w:rPr>
        <w:footnoteReference w:id="76"/>
      </w:r>
      <w:r w:rsidR="000B2290" w:rsidRPr="0030135C">
        <w:rPr>
          <w:rFonts w:eastAsia="Times New Roman"/>
        </w:rPr>
        <w:t xml:space="preserve">. </w:t>
      </w:r>
      <w:r w:rsidR="000A0881">
        <w:t>Alburquerque p</w:t>
      </w:r>
      <w:r w:rsidR="00DE653A" w:rsidRPr="0030135C">
        <w:t>ermaneció en Flandes hasta que recibió orden de pasar a la corte de España, saliendo de Bruselas el 2 de diciembre de 1643</w:t>
      </w:r>
      <w:r w:rsidR="00DE653A" w:rsidRPr="0030135C">
        <w:rPr>
          <w:rStyle w:val="Marquenotebasdepage"/>
        </w:rPr>
        <w:footnoteReference w:id="77"/>
      </w:r>
      <w:r w:rsidR="00DE653A" w:rsidRPr="0030135C">
        <w:t xml:space="preserve">. </w:t>
      </w:r>
      <w:r w:rsidR="00AC4D6A" w:rsidRPr="0030135C">
        <w:t>En Flandes había aún rumores sobre su</w:t>
      </w:r>
      <w:r w:rsidR="00B95B59" w:rsidRPr="0030135C">
        <w:t xml:space="preserve"> regreso </w:t>
      </w:r>
      <w:r w:rsidR="00AC4D6A" w:rsidRPr="0030135C">
        <w:t>y se temía “</w:t>
      </w:r>
      <w:r w:rsidR="005C6A8F" w:rsidRPr="0030135C">
        <w:t xml:space="preserve">una gran moción si como se publica fuese cierta la vuelta del Duque de </w:t>
      </w:r>
      <w:r w:rsidR="00C72E81" w:rsidRPr="0030135C">
        <w:t>Alburquerque</w:t>
      </w:r>
      <w:r w:rsidR="005C6A8F" w:rsidRPr="0030135C">
        <w:t>, por el aborr</w:t>
      </w:r>
      <w:r w:rsidR="00641C3D">
        <w:t>e</w:t>
      </w:r>
      <w:r w:rsidR="005C6A8F" w:rsidRPr="0030135C">
        <w:t>cimiento notable que le han cobrado estos pueblos y el temor con que están</w:t>
      </w:r>
      <w:r w:rsidR="00AF6FA5" w:rsidRPr="0030135C">
        <w:t xml:space="preserve"> de que continuara las desó</w:t>
      </w:r>
      <w:r w:rsidR="005C6A8F" w:rsidRPr="0030135C">
        <w:t>rdenes pasadas”</w:t>
      </w:r>
      <w:r w:rsidR="00C72E81" w:rsidRPr="0030135C">
        <w:rPr>
          <w:rStyle w:val="Marquenotebasdepage"/>
        </w:rPr>
        <w:footnoteReference w:id="78"/>
      </w:r>
      <w:r w:rsidR="005C6A8F" w:rsidRPr="0030135C">
        <w:t xml:space="preserve">. </w:t>
      </w:r>
      <w:r w:rsidR="00B72358" w:rsidRPr="0030135C">
        <w:t xml:space="preserve">Los historiadores españoles </w:t>
      </w:r>
      <w:r w:rsidR="002575FC" w:rsidRPr="0030135C">
        <w:t>objeta</w:t>
      </w:r>
      <w:r w:rsidR="00BD64A0" w:rsidRPr="0030135C">
        <w:t>ro</w:t>
      </w:r>
      <w:r w:rsidR="002575FC" w:rsidRPr="0030135C">
        <w:t>n que</w:t>
      </w:r>
      <w:r w:rsidR="0022645A" w:rsidRPr="0030135C">
        <w:t xml:space="preserve"> no hay general que haya sido amado por el pueblo</w:t>
      </w:r>
      <w:r w:rsidR="0022645A" w:rsidRPr="0030135C">
        <w:rPr>
          <w:rStyle w:val="Marquenotebasdepage"/>
        </w:rPr>
        <w:footnoteReference w:id="79"/>
      </w:r>
      <w:r w:rsidR="0022645A" w:rsidRPr="0030135C">
        <w:t xml:space="preserve">, </w:t>
      </w:r>
      <w:r w:rsidR="002575FC" w:rsidRPr="0030135C">
        <w:t xml:space="preserve">y que </w:t>
      </w:r>
      <w:r w:rsidR="0022645A" w:rsidRPr="0030135C">
        <w:t xml:space="preserve">las “simpatías y efectos que logró inspirar en aquel país” se vieron cuando </w:t>
      </w:r>
      <w:r w:rsidR="00FD5C6F" w:rsidRPr="0030135C">
        <w:t xml:space="preserve">lo acompañó </w:t>
      </w:r>
      <w:r w:rsidR="0022645A" w:rsidRPr="0030135C">
        <w:t>“toda la corte en coches hasta la salida”</w:t>
      </w:r>
      <w:r w:rsidR="0022645A" w:rsidRPr="0030135C">
        <w:rPr>
          <w:rStyle w:val="Marquenotebasdepage"/>
        </w:rPr>
        <w:footnoteReference w:id="80"/>
      </w:r>
      <w:r w:rsidR="00496F49" w:rsidRPr="0030135C">
        <w:t xml:space="preserve">. No </w:t>
      </w:r>
      <w:r w:rsidR="002575FC" w:rsidRPr="0030135C">
        <w:t>obstante</w:t>
      </w:r>
      <w:r w:rsidR="00496F49" w:rsidRPr="0030135C">
        <w:t xml:space="preserve">, </w:t>
      </w:r>
      <w:r w:rsidR="002575FC" w:rsidRPr="0030135C">
        <w:t xml:space="preserve">no se </w:t>
      </w:r>
      <w:r w:rsidR="006929FB" w:rsidRPr="0030135C">
        <w:t>disipó</w:t>
      </w:r>
      <w:r w:rsidR="002575FC" w:rsidRPr="0030135C">
        <w:t xml:space="preserve"> la idea de que Alburquerque</w:t>
      </w:r>
      <w:r w:rsidR="006929FB" w:rsidRPr="0030135C">
        <w:t xml:space="preserve"> demostró en Rocroi “má</w:t>
      </w:r>
      <w:r w:rsidR="002C3E2B" w:rsidRPr="0030135C">
        <w:t xml:space="preserve">s aptitudes de soldado que de General” y que </w:t>
      </w:r>
      <w:r w:rsidR="006929FB" w:rsidRPr="0030135C">
        <w:t>en buena parte la causa</w:t>
      </w:r>
      <w:r w:rsidR="002C3E2B" w:rsidRPr="0030135C">
        <w:t xml:space="preserve"> de la derrota estaba en su falta de experiencia</w:t>
      </w:r>
      <w:r w:rsidR="002C3E2B" w:rsidRPr="0030135C">
        <w:rPr>
          <w:rStyle w:val="Marquenotebasdepage"/>
        </w:rPr>
        <w:footnoteReference w:id="81"/>
      </w:r>
      <w:r w:rsidR="002C3E2B" w:rsidRPr="0030135C">
        <w:t xml:space="preserve">. </w:t>
      </w:r>
    </w:p>
    <w:p w14:paraId="0F96F96D" w14:textId="34671279" w:rsidR="00216727" w:rsidRPr="0030135C" w:rsidRDefault="00B72358" w:rsidP="0030135C">
      <w:pPr>
        <w:spacing w:line="360" w:lineRule="auto"/>
        <w:jc w:val="both"/>
      </w:pPr>
      <w:r w:rsidRPr="0030135C">
        <w:t>Amado o aborrecido</w:t>
      </w:r>
      <w:r w:rsidR="008555D5" w:rsidRPr="0030135C">
        <w:t>, héroe o cobarde,</w:t>
      </w:r>
      <w:r w:rsidRPr="0030135C">
        <w:t xml:space="preserve"> el </w:t>
      </w:r>
      <w:r w:rsidR="008555D5" w:rsidRPr="0030135C">
        <w:t xml:space="preserve">joven </w:t>
      </w:r>
      <w:r w:rsidRPr="0030135C">
        <w:t>Duque de Alburquerque fue retratado por lo</w:t>
      </w:r>
      <w:r w:rsidR="00A17650" w:rsidRPr="0030135C">
        <w:t>s Wautier, igua</w:t>
      </w:r>
      <w:r w:rsidR="0011589E" w:rsidRPr="0030135C">
        <w:t xml:space="preserve">l que </w:t>
      </w:r>
      <w:r w:rsidR="008555D5" w:rsidRPr="0030135C">
        <w:t xml:space="preserve">Bucquoy </w:t>
      </w:r>
      <w:r w:rsidR="00755E35" w:rsidRPr="0030135C">
        <w:t xml:space="preserve">y </w:t>
      </w:r>
      <w:r w:rsidR="0011589E" w:rsidRPr="0030135C">
        <w:t>Cantel</w:t>
      </w:r>
      <w:r w:rsidR="002575FC" w:rsidRPr="0030135C">
        <w:t xml:space="preserve">mo, hombre </w:t>
      </w:r>
      <w:r w:rsidR="00755E35" w:rsidRPr="0030135C">
        <w:t xml:space="preserve">éste muy </w:t>
      </w:r>
      <w:r w:rsidR="002575FC" w:rsidRPr="0030135C">
        <w:t xml:space="preserve">cortés, </w:t>
      </w:r>
      <w:r w:rsidR="00FD5C6F" w:rsidRPr="0030135C">
        <w:t>instruido</w:t>
      </w:r>
      <w:r w:rsidR="00496F49" w:rsidRPr="0030135C">
        <w:t xml:space="preserve"> y </w:t>
      </w:r>
      <w:r w:rsidR="002575FC" w:rsidRPr="0030135C">
        <w:t>temido</w:t>
      </w:r>
      <w:r w:rsidR="00A17650" w:rsidRPr="0030135C">
        <w:rPr>
          <w:rStyle w:val="Marquenotebasdepage"/>
        </w:rPr>
        <w:footnoteReference w:id="82"/>
      </w:r>
      <w:r w:rsidR="00A17650" w:rsidRPr="0030135C">
        <w:t xml:space="preserve">. </w:t>
      </w:r>
      <w:r w:rsidR="00DE610A" w:rsidRPr="0030135C">
        <w:t xml:space="preserve">No sabemos si -como </w:t>
      </w:r>
      <w:r w:rsidR="00EE3152">
        <w:t>fue le caso con el</w:t>
      </w:r>
      <w:r w:rsidR="00DE610A" w:rsidRPr="0030135C">
        <w:t xml:space="preserve"> a</w:t>
      </w:r>
      <w:r w:rsidR="00755E35" w:rsidRPr="0030135C">
        <w:t xml:space="preserve">rchiduque Leopoldo en 1652 </w:t>
      </w:r>
      <w:r w:rsidR="00755E35" w:rsidRPr="004F400B">
        <w:t>(figs. 6 y 7</w:t>
      </w:r>
      <w:r w:rsidR="00DE610A" w:rsidRPr="004F400B">
        <w:t>)-</w:t>
      </w:r>
      <w:r w:rsidR="00DE610A" w:rsidRPr="0030135C">
        <w:t xml:space="preserve">, </w:t>
      </w:r>
      <w:r w:rsidR="00EE3152">
        <w:t>se captaron lo</w:t>
      </w:r>
      <w:r w:rsidR="00DE610A" w:rsidRPr="0030135C">
        <w:t>s rostros en un boceto preparatorio para luego traspasarlo</w:t>
      </w:r>
      <w:r w:rsidR="00EE3152">
        <w:t>s</w:t>
      </w:r>
      <w:r w:rsidR="00DE610A" w:rsidRPr="0030135C">
        <w:t xml:space="preserve"> al lienzo fina</w:t>
      </w:r>
      <w:r w:rsidR="00C327EA" w:rsidRPr="0030135C">
        <w:t>l</w:t>
      </w:r>
      <w:r w:rsidR="00244E8C" w:rsidRPr="0030135C">
        <w:rPr>
          <w:rStyle w:val="Marquenotebasdepage"/>
        </w:rPr>
        <w:footnoteReference w:id="83"/>
      </w:r>
      <w:r w:rsidR="00DE610A" w:rsidRPr="0030135C">
        <w:t>; o si, al tratarse</w:t>
      </w:r>
      <w:r w:rsidR="00C327EA" w:rsidRPr="0030135C">
        <w:t xml:space="preserve"> de retratos de busto, trabajaría</w:t>
      </w:r>
      <w:r w:rsidR="00DE610A" w:rsidRPr="0030135C">
        <w:t xml:space="preserve">n directamente sobre el lienzo. En cualquier caso, </w:t>
      </w:r>
      <w:r w:rsidR="005A3956" w:rsidRPr="0030135C">
        <w:t>los retratados</w:t>
      </w:r>
      <w:r w:rsidR="00216727" w:rsidRPr="0030135C">
        <w:t xml:space="preserve"> debieron p</w:t>
      </w:r>
      <w:r w:rsidR="008375F0" w:rsidRPr="0030135C">
        <w:t xml:space="preserve">osar </w:t>
      </w:r>
      <w:r w:rsidR="00496F49" w:rsidRPr="0030135C">
        <w:t xml:space="preserve">para </w:t>
      </w:r>
      <w:r w:rsidR="00EE3152">
        <w:t>los Wautier</w:t>
      </w:r>
      <w:r w:rsidR="00496F49" w:rsidRPr="0030135C">
        <w:t xml:space="preserve"> </w:t>
      </w:r>
      <w:r w:rsidR="008375F0" w:rsidRPr="0030135C">
        <w:t>más de unas horas, el tiempo sufi</w:t>
      </w:r>
      <w:r w:rsidR="00201415" w:rsidRPr="0030135C">
        <w:t>ciente para tomar sus rostros del</w:t>
      </w:r>
      <w:r w:rsidR="008375F0" w:rsidRPr="0030135C">
        <w:t xml:space="preserve"> vivo; los accesorios </w:t>
      </w:r>
      <w:r w:rsidR="00201415" w:rsidRPr="0030135C">
        <w:t>se</w:t>
      </w:r>
      <w:r w:rsidR="008375F0" w:rsidRPr="0030135C">
        <w:t xml:space="preserve"> pintarían después. Nos preguntamos de qué hablarían</w:t>
      </w:r>
      <w:r w:rsidR="00201415" w:rsidRPr="0030135C">
        <w:t>, si conver</w:t>
      </w:r>
      <w:r w:rsidR="0011589E" w:rsidRPr="0030135C">
        <w:t xml:space="preserve">sarían sobre los sucesos de </w:t>
      </w:r>
      <w:r w:rsidR="00FD5C6F" w:rsidRPr="0030135C">
        <w:t xml:space="preserve">la </w:t>
      </w:r>
      <w:r w:rsidR="0011589E" w:rsidRPr="0030135C">
        <w:t>guerra</w:t>
      </w:r>
      <w:r w:rsidR="000C7F34" w:rsidRPr="0030135C">
        <w:t xml:space="preserve"> o</w:t>
      </w:r>
      <w:r w:rsidR="00FD5C6F" w:rsidRPr="0030135C">
        <w:t xml:space="preserve"> sólo de</w:t>
      </w:r>
      <w:r w:rsidR="00201415" w:rsidRPr="0030135C">
        <w:t xml:space="preserve"> Arte</w:t>
      </w:r>
      <w:r w:rsidR="008375F0" w:rsidRPr="0030135C">
        <w:t xml:space="preserve">. </w:t>
      </w:r>
      <w:r w:rsidR="00201415" w:rsidRPr="0030135C">
        <w:t xml:space="preserve">¿Habrá mencionado Cantelmo </w:t>
      </w:r>
      <w:r w:rsidR="000C7F34" w:rsidRPr="0030135C">
        <w:t>su encargo</w:t>
      </w:r>
      <w:r w:rsidR="00201415" w:rsidRPr="0030135C">
        <w:t xml:space="preserve"> a Peter Snayers </w:t>
      </w:r>
      <w:r w:rsidR="000C7F34" w:rsidRPr="0030135C">
        <w:t xml:space="preserve">de un gran lienzo </w:t>
      </w:r>
      <w:r w:rsidR="00201415" w:rsidRPr="0030135C">
        <w:t xml:space="preserve">con la </w:t>
      </w:r>
      <w:r w:rsidR="00201415" w:rsidRPr="0030135C">
        <w:rPr>
          <w:i/>
        </w:rPr>
        <w:t>Batalla de Kallo</w:t>
      </w:r>
      <w:r w:rsidR="0011589E" w:rsidRPr="0030135C">
        <w:rPr>
          <w:rStyle w:val="Marquenotebasdepage"/>
        </w:rPr>
        <w:footnoteReference w:id="84"/>
      </w:r>
      <w:r w:rsidR="00DE610A" w:rsidRPr="0030135C">
        <w:t>, o</w:t>
      </w:r>
      <w:r w:rsidR="002575FC" w:rsidRPr="0030135C">
        <w:t xml:space="preserve"> los</w:t>
      </w:r>
      <w:r w:rsidR="00201415" w:rsidRPr="0030135C">
        <w:t xml:space="preserve"> tapices con las Artes Liberales siguiendo cartones de Cornelis Schut</w:t>
      </w:r>
      <w:r w:rsidR="0011589E" w:rsidRPr="0030135C">
        <w:rPr>
          <w:rStyle w:val="Marquenotebasdepage"/>
        </w:rPr>
        <w:footnoteReference w:id="85"/>
      </w:r>
      <w:r w:rsidR="0011589E" w:rsidRPr="0030135C">
        <w:t xml:space="preserve">?. ¿Y Alburquerque? También él, como veremos, amaba las Bellas Artes. </w:t>
      </w:r>
    </w:p>
    <w:p w14:paraId="5D2B3F25" w14:textId="1B83D6D6" w:rsidR="00DE653A" w:rsidRPr="0030135C" w:rsidRDefault="00DE653A" w:rsidP="0030135C">
      <w:pPr>
        <w:spacing w:line="360" w:lineRule="auto"/>
        <w:jc w:val="both"/>
      </w:pPr>
      <w:r w:rsidRPr="0030135C">
        <w:t xml:space="preserve">Al volver </w:t>
      </w:r>
      <w:r w:rsidR="00AF6FA5" w:rsidRPr="0030135C">
        <w:t xml:space="preserve">a la corte </w:t>
      </w:r>
      <w:r w:rsidR="008D2DF6" w:rsidRPr="0030135C">
        <w:t xml:space="preserve">Alburquerque </w:t>
      </w:r>
      <w:r w:rsidRPr="0030135C">
        <w:t>pretendió el cargo de Virrey de Nueva España, pero el rey lo consideraba aún muy joven para este puesto, y lo nombró para compensarlo Gentilhombre de Cám</w:t>
      </w:r>
      <w:r w:rsidR="00CD6F89" w:rsidRPr="0030135C">
        <w:t>ara</w:t>
      </w:r>
      <w:r w:rsidR="00CD6F89" w:rsidRPr="0030135C">
        <w:rPr>
          <w:rStyle w:val="Marquenotebasdepage"/>
        </w:rPr>
        <w:footnoteReference w:id="86"/>
      </w:r>
      <w:r w:rsidRPr="0030135C">
        <w:t xml:space="preserve">. En 1645 casó </w:t>
      </w:r>
      <w:r w:rsidR="006E6E49" w:rsidRPr="0030135C">
        <w:t xml:space="preserve">en Madrid </w:t>
      </w:r>
      <w:r w:rsidRPr="0030135C">
        <w:t>con doña Juana Francisca de Armendáriz, segunda marquesa de Cadreita</w:t>
      </w:r>
      <w:r w:rsidR="008659A3" w:rsidRPr="0030135C">
        <w:t xml:space="preserve"> (Madrid, </w:t>
      </w:r>
      <w:r w:rsidR="0097391C" w:rsidRPr="0030135C">
        <w:t>+</w:t>
      </w:r>
      <w:r w:rsidR="008659A3" w:rsidRPr="0030135C">
        <w:t>1692)</w:t>
      </w:r>
      <w:r w:rsidRPr="0030135C">
        <w:t xml:space="preserve">, hija del que había sido </w:t>
      </w:r>
      <w:r w:rsidR="006E6E49" w:rsidRPr="0030135C">
        <w:t>deci</w:t>
      </w:r>
      <w:r w:rsidRPr="0030135C">
        <w:t>m</w:t>
      </w:r>
      <w:r w:rsidR="008659A3" w:rsidRPr="0030135C">
        <w:t>osexto virrey de Nueva España</w:t>
      </w:r>
      <w:r w:rsidR="008659A3" w:rsidRPr="0030135C">
        <w:rPr>
          <w:rStyle w:val="Marquenotebasdepage"/>
        </w:rPr>
        <w:footnoteReference w:id="87"/>
      </w:r>
      <w:r w:rsidR="008659A3" w:rsidRPr="0030135C">
        <w:t xml:space="preserve">, </w:t>
      </w:r>
      <w:r w:rsidRPr="0030135C">
        <w:t>y dama de la difunta reina Isabel de Borbón, a la que Alburquerque había velado muerta</w:t>
      </w:r>
      <w:r w:rsidR="008D2DF6" w:rsidRPr="0030135C">
        <w:rPr>
          <w:rStyle w:val="Marquenotebasdepage"/>
        </w:rPr>
        <w:footnoteReference w:id="88"/>
      </w:r>
      <w:r w:rsidR="00016B45" w:rsidRPr="0030135C">
        <w:t>. Como G</w:t>
      </w:r>
      <w:r w:rsidRPr="0030135C">
        <w:t>eneral de caballería en el ejército de Cataluña</w:t>
      </w:r>
      <w:r w:rsidR="00016B45" w:rsidRPr="0030135C">
        <w:t xml:space="preserve"> se enfrentó</w:t>
      </w:r>
      <w:r w:rsidRPr="0030135C">
        <w:t xml:space="preserve"> de nuevo co</w:t>
      </w:r>
      <w:r w:rsidR="000174F2" w:rsidRPr="0030135C">
        <w:t>n los franceses, obteniendo victorias</w:t>
      </w:r>
      <w:r w:rsidRPr="0030135C">
        <w:t xml:space="preserve"> muy loada</w:t>
      </w:r>
      <w:r w:rsidR="000174F2" w:rsidRPr="0030135C">
        <w:t>s</w:t>
      </w:r>
      <w:r w:rsidRPr="0030135C">
        <w:t xml:space="preserve"> por el </w:t>
      </w:r>
      <w:r w:rsidR="000174F2" w:rsidRPr="0030135C">
        <w:t>rey</w:t>
      </w:r>
      <w:r w:rsidRPr="0030135C">
        <w:rPr>
          <w:rStyle w:val="Marquenotebasdepage"/>
        </w:rPr>
        <w:footnoteReference w:id="89"/>
      </w:r>
      <w:r w:rsidRPr="0030135C">
        <w:t xml:space="preserve">. </w:t>
      </w:r>
      <w:r w:rsidR="003F3B9C" w:rsidRPr="0030135C">
        <w:t xml:space="preserve">El Museo de Historia de </w:t>
      </w:r>
      <w:r w:rsidR="00BD64A0" w:rsidRPr="0030135C">
        <w:t>Cataluña</w:t>
      </w:r>
      <w:r w:rsidR="003F3B9C" w:rsidRPr="0030135C">
        <w:t xml:space="preserve"> </w:t>
      </w:r>
      <w:r w:rsidR="00CA2B59" w:rsidRPr="0030135C">
        <w:t>ha adquirido últimamente</w:t>
      </w:r>
      <w:r w:rsidR="003F3B9C" w:rsidRPr="0030135C">
        <w:t xml:space="preserve"> dos </w:t>
      </w:r>
      <w:r w:rsidR="00670E0F" w:rsidRPr="0030135C">
        <w:t>grandes lienzos</w:t>
      </w:r>
      <w:r w:rsidR="003F3B9C" w:rsidRPr="0030135C">
        <w:t xml:space="preserve"> que recuerdan su actuación</w:t>
      </w:r>
      <w:r w:rsidR="00BD64A0" w:rsidRPr="0030135C">
        <w:t xml:space="preserve"> en estas campañas, con el</w:t>
      </w:r>
      <w:r w:rsidR="003F3B9C" w:rsidRPr="0030135C">
        <w:t xml:space="preserve"> </w:t>
      </w:r>
      <w:r w:rsidR="003F3B9C" w:rsidRPr="0030135C">
        <w:rPr>
          <w:i/>
        </w:rPr>
        <w:t>Sitio de Tortosa en 1648</w:t>
      </w:r>
      <w:r w:rsidR="002D5A32" w:rsidRPr="0030135C">
        <w:t xml:space="preserve"> y </w:t>
      </w:r>
      <w:r w:rsidR="00474971" w:rsidRPr="0030135C">
        <w:t xml:space="preserve">el </w:t>
      </w:r>
      <w:r w:rsidR="00474971" w:rsidRPr="0030135C">
        <w:rPr>
          <w:i/>
        </w:rPr>
        <w:t>Sitio de B</w:t>
      </w:r>
      <w:r w:rsidR="00F40A60" w:rsidRPr="0030135C">
        <w:rPr>
          <w:i/>
        </w:rPr>
        <w:t>a</w:t>
      </w:r>
      <w:r w:rsidR="00474971" w:rsidRPr="0030135C">
        <w:rPr>
          <w:i/>
        </w:rPr>
        <w:t>rcelona</w:t>
      </w:r>
      <w:r w:rsidR="00F40A60" w:rsidRPr="0030135C">
        <w:rPr>
          <w:i/>
        </w:rPr>
        <w:t xml:space="preserve"> en 1651-1652</w:t>
      </w:r>
      <w:r w:rsidR="00474971" w:rsidRPr="0030135C">
        <w:t xml:space="preserve"> </w:t>
      </w:r>
      <w:r w:rsidR="009865C3" w:rsidRPr="0030135C">
        <w:t>(</w:t>
      </w:r>
      <w:r w:rsidR="004F400B">
        <w:rPr>
          <w:highlight w:val="yellow"/>
        </w:rPr>
        <w:t>f</w:t>
      </w:r>
      <w:r w:rsidR="00EB0190" w:rsidRPr="0030135C">
        <w:rPr>
          <w:highlight w:val="yellow"/>
        </w:rPr>
        <w:t>ig</w:t>
      </w:r>
      <w:r w:rsidR="004F400B">
        <w:rPr>
          <w:highlight w:val="yellow"/>
        </w:rPr>
        <w:t>s</w:t>
      </w:r>
      <w:r w:rsidR="00EB0190" w:rsidRPr="0030135C">
        <w:rPr>
          <w:highlight w:val="yellow"/>
        </w:rPr>
        <w:t>. 19 y 20</w:t>
      </w:r>
      <w:r w:rsidR="00BD64A0" w:rsidRPr="0030135C">
        <w:t>)</w:t>
      </w:r>
      <w:r w:rsidR="00BD64A0" w:rsidRPr="0030135C">
        <w:rPr>
          <w:rStyle w:val="Marquenotebasdepage"/>
        </w:rPr>
        <w:footnoteReference w:id="90"/>
      </w:r>
      <w:r w:rsidR="00BD64A0" w:rsidRPr="0030135C">
        <w:t xml:space="preserve">, </w:t>
      </w:r>
      <w:r w:rsidR="002D5A32" w:rsidRPr="0030135C">
        <w:t xml:space="preserve">donde </w:t>
      </w:r>
      <w:r w:rsidR="000A0881">
        <w:t>reconocemos</w:t>
      </w:r>
      <w:r w:rsidR="00474971" w:rsidRPr="0030135C">
        <w:t xml:space="preserve"> </w:t>
      </w:r>
      <w:r w:rsidR="00BD64A0" w:rsidRPr="0030135C">
        <w:t>a Alburquerque junto a Don Juan José de Austria</w:t>
      </w:r>
      <w:r w:rsidR="00D625C3" w:rsidRPr="0030135C">
        <w:rPr>
          <w:rStyle w:val="Marquenotebasdepage"/>
        </w:rPr>
        <w:footnoteReference w:id="91"/>
      </w:r>
      <w:r w:rsidR="00474971" w:rsidRPr="0030135C">
        <w:t xml:space="preserve">, montado en su caballo y tocado con su sombrero negro. </w:t>
      </w:r>
      <w:r w:rsidR="00670E0F" w:rsidRPr="0030135C">
        <w:t xml:space="preserve">De </w:t>
      </w:r>
      <w:r w:rsidR="00D625C3" w:rsidRPr="0030135C">
        <w:t xml:space="preserve">idénticas medidas y probablemente ejecutados por la misma mano, estos lienzos debieron ser encargo de Alburquerque, protagonista en las dos batallas muy </w:t>
      </w:r>
      <w:r w:rsidR="00D07CD1" w:rsidRPr="0030135C">
        <w:t>destacado</w:t>
      </w:r>
      <w:r w:rsidR="00D625C3" w:rsidRPr="0030135C">
        <w:t xml:space="preserve"> en las inscripciones. </w:t>
      </w:r>
      <w:r w:rsidRPr="0030135C">
        <w:t xml:space="preserve">Por fin obtuvo el nombramiento de virrey de Nueva España que tanto anhelaba. </w:t>
      </w:r>
    </w:p>
    <w:p w14:paraId="5F226008" w14:textId="157AAC19" w:rsidR="00DE653A" w:rsidRDefault="00FD5C6F" w:rsidP="0030135C">
      <w:pPr>
        <w:spacing w:line="360" w:lineRule="auto"/>
        <w:jc w:val="both"/>
        <w:rPr>
          <w:rFonts w:eastAsia="Times New Roman"/>
        </w:rPr>
      </w:pPr>
      <w:r w:rsidRPr="0030135C">
        <w:t>Llegando a</w:t>
      </w:r>
      <w:r w:rsidR="00DE653A" w:rsidRPr="0030135C">
        <w:t xml:space="preserve"> México en 1653 se le recibe con gran aparato: la relación de aquellos actos quedó reflejada en diversos textos impresos en 1653 y 1654</w:t>
      </w:r>
      <w:r w:rsidR="00DE653A" w:rsidRPr="0030135C">
        <w:rPr>
          <w:rStyle w:val="Marquenotebasdepage"/>
        </w:rPr>
        <w:footnoteReference w:id="92"/>
      </w:r>
      <w:r w:rsidR="00DE653A" w:rsidRPr="0030135C">
        <w:rPr>
          <w:rFonts w:eastAsia="Times New Roman"/>
        </w:rPr>
        <w:t>. Desembarca en Veracruz en los primeros días de julio, pasando por San Cristóbal y Chapultepec para hacer su entrada triunfal en México el 15 de agosto, llegando a la Catedral por una magnífica portada efímera especialmente construida para recibirlo y una fachada en la que se le identificaba con Marte victorioso, ensalzando su</w:t>
      </w:r>
      <w:r w:rsidR="00AF6FA5" w:rsidRPr="0030135C">
        <w:rPr>
          <w:rFonts w:eastAsia="Times New Roman"/>
        </w:rPr>
        <w:t>s</w:t>
      </w:r>
      <w:r w:rsidR="00DE653A" w:rsidRPr="0030135C">
        <w:rPr>
          <w:rFonts w:eastAsia="Times New Roman"/>
        </w:rPr>
        <w:t xml:space="preserve"> éxito</w:t>
      </w:r>
      <w:r w:rsidR="00AF6FA5" w:rsidRPr="0030135C">
        <w:rPr>
          <w:rFonts w:eastAsia="Times New Roman"/>
        </w:rPr>
        <w:t>s</w:t>
      </w:r>
      <w:r w:rsidR="00DE653A" w:rsidRPr="0030135C">
        <w:rPr>
          <w:rFonts w:eastAsia="Times New Roman"/>
        </w:rPr>
        <w:t xml:space="preserve"> en las campañas</w:t>
      </w:r>
      <w:r w:rsidR="00DE653A" w:rsidRPr="0030135C">
        <w:rPr>
          <w:rStyle w:val="Marquenotebasdepage"/>
          <w:rFonts w:eastAsia="Times New Roman"/>
        </w:rPr>
        <w:footnoteReference w:id="93"/>
      </w:r>
      <w:r w:rsidR="00DE653A" w:rsidRPr="0030135C">
        <w:rPr>
          <w:rFonts w:eastAsia="Times New Roman"/>
        </w:rPr>
        <w:t>.</w:t>
      </w:r>
      <w:r w:rsidR="00DE653A" w:rsidRPr="0030135C">
        <w:t xml:space="preserve"> </w:t>
      </w:r>
      <w:r w:rsidR="00DE653A" w:rsidRPr="0030135C">
        <w:rPr>
          <w:rFonts w:eastAsia="Times New Roman"/>
        </w:rPr>
        <w:t>En Nueva España llevó una política impulsadora de las minas y ganados como fuente de riqueza, llevando a cabo numerosas obras públicas</w:t>
      </w:r>
      <w:r w:rsidR="00B616AD">
        <w:rPr>
          <w:rStyle w:val="Marquenotebasdepage"/>
          <w:rFonts w:eastAsia="Times New Roman"/>
        </w:rPr>
        <w:footnoteReference w:id="94"/>
      </w:r>
      <w:r w:rsidR="00DE653A" w:rsidRPr="0030135C">
        <w:rPr>
          <w:rFonts w:eastAsia="Times New Roman"/>
        </w:rPr>
        <w:t>, cuidando la instrucción de los indios y</w:t>
      </w:r>
      <w:r w:rsidR="009C1B7A" w:rsidRPr="0030135C">
        <w:rPr>
          <w:rFonts w:eastAsia="Times New Roman"/>
        </w:rPr>
        <w:t>,</w:t>
      </w:r>
      <w:r w:rsidR="00DE653A" w:rsidRPr="0030135C">
        <w:rPr>
          <w:rFonts w:eastAsia="Times New Roman"/>
        </w:rPr>
        <w:t xml:space="preserve"> particularmente</w:t>
      </w:r>
      <w:r w:rsidR="009C1B7A" w:rsidRPr="0030135C">
        <w:rPr>
          <w:rFonts w:eastAsia="Times New Roman"/>
        </w:rPr>
        <w:t>,</w:t>
      </w:r>
      <w:r w:rsidR="00DE653A" w:rsidRPr="0030135C">
        <w:rPr>
          <w:rFonts w:eastAsia="Times New Roman"/>
        </w:rPr>
        <w:t xml:space="preserve"> los adelantos de las ciencias y de las artes</w:t>
      </w:r>
      <w:r w:rsidR="00DE653A" w:rsidRPr="0030135C">
        <w:rPr>
          <w:rStyle w:val="Marquenotebasdepage"/>
          <w:rFonts w:eastAsia="Times New Roman"/>
        </w:rPr>
        <w:footnoteReference w:id="95"/>
      </w:r>
      <w:r w:rsidR="00DE653A" w:rsidRPr="0030135C">
        <w:rPr>
          <w:rFonts w:eastAsia="Times New Roman"/>
        </w:rPr>
        <w:t>.</w:t>
      </w:r>
      <w:r w:rsidR="00383117" w:rsidRPr="0030135C">
        <w:rPr>
          <w:rFonts w:eastAsia="Times New Roman"/>
        </w:rPr>
        <w:t xml:space="preserve"> </w:t>
      </w:r>
      <w:r w:rsidR="00016B45" w:rsidRPr="0030135C">
        <w:rPr>
          <w:rFonts w:eastAsia="Times New Roman"/>
        </w:rPr>
        <w:t>Destacó</w:t>
      </w:r>
      <w:r w:rsidR="00DE653A" w:rsidRPr="0030135C">
        <w:rPr>
          <w:rFonts w:eastAsia="Times New Roman"/>
        </w:rPr>
        <w:t xml:space="preserve"> en México como protector y mecenas, honrando “continuamente las letras y las ciencias</w:t>
      </w:r>
      <w:r w:rsidR="00E614C9" w:rsidRPr="0030135C">
        <w:rPr>
          <w:rFonts w:eastAsia="Times New Roman"/>
        </w:rPr>
        <w:t xml:space="preserve">”, </w:t>
      </w:r>
      <w:r w:rsidR="00DE653A" w:rsidRPr="0030135C">
        <w:rPr>
          <w:rFonts w:eastAsia="Times New Roman"/>
        </w:rPr>
        <w:t xml:space="preserve">siendo su Palacio </w:t>
      </w:r>
      <w:r w:rsidR="00E614C9" w:rsidRPr="0030135C">
        <w:rPr>
          <w:rFonts w:eastAsia="Times New Roman"/>
        </w:rPr>
        <w:t>“</w:t>
      </w:r>
      <w:r w:rsidR="00DE653A" w:rsidRPr="0030135C">
        <w:rPr>
          <w:rFonts w:eastAsia="Times New Roman"/>
        </w:rPr>
        <w:t>el modelo de la eleganc</w:t>
      </w:r>
      <w:r w:rsidR="009C1B7A" w:rsidRPr="0030135C">
        <w:rPr>
          <w:rFonts w:eastAsia="Times New Roman"/>
        </w:rPr>
        <w:t>ia y el buen gusto”</w:t>
      </w:r>
      <w:r w:rsidR="00794F76" w:rsidRPr="0030135C">
        <w:rPr>
          <w:rStyle w:val="Marquenotebasdepage"/>
          <w:rFonts w:eastAsia="Times New Roman"/>
        </w:rPr>
        <w:footnoteReference w:id="96"/>
      </w:r>
      <w:r w:rsidR="009C1B7A" w:rsidRPr="0030135C">
        <w:rPr>
          <w:rFonts w:eastAsia="Times New Roman"/>
        </w:rPr>
        <w:t xml:space="preserve">. </w:t>
      </w:r>
      <w:r w:rsidR="00C32C14" w:rsidRPr="0030135C">
        <w:rPr>
          <w:rFonts w:eastAsia="Times New Roman"/>
        </w:rPr>
        <w:t>Que era aficionado al “derroche de lujo y magnificencia” quedó patente en las celebraciones y desfiles que organizó en México por el nacimiento del prínci</w:t>
      </w:r>
      <w:r w:rsidR="001C61CE" w:rsidRPr="0030135C">
        <w:rPr>
          <w:rFonts w:eastAsia="Times New Roman"/>
        </w:rPr>
        <w:t>pe Felipe Próspero (Madrid, 1657-1661</w:t>
      </w:r>
      <w:r w:rsidR="00C32C14" w:rsidRPr="0030135C">
        <w:rPr>
          <w:rFonts w:eastAsia="Times New Roman"/>
        </w:rPr>
        <w:t>), hijo de Felipe IV</w:t>
      </w:r>
      <w:r w:rsidR="005A3076" w:rsidRPr="0030135C">
        <w:rPr>
          <w:rStyle w:val="Marquenotebasdepage"/>
          <w:rFonts w:eastAsia="Times New Roman"/>
        </w:rPr>
        <w:footnoteReference w:id="97"/>
      </w:r>
      <w:r w:rsidR="00C32C14" w:rsidRPr="0030135C">
        <w:rPr>
          <w:rFonts w:eastAsia="Times New Roman"/>
        </w:rPr>
        <w:t xml:space="preserve">. </w:t>
      </w:r>
      <w:r w:rsidR="0097391C" w:rsidRPr="0030135C">
        <w:rPr>
          <w:rFonts w:eastAsia="Times New Roman"/>
        </w:rPr>
        <w:t>Su encargo al “Ticiano de los Plateros” de México de un gran medallón de oro cincelado que mandó al Rey como regalo</w:t>
      </w:r>
      <w:r w:rsidR="0097391C" w:rsidRPr="0030135C">
        <w:rPr>
          <w:rStyle w:val="Marquenotebasdepage"/>
          <w:rFonts w:eastAsia="Times New Roman"/>
        </w:rPr>
        <w:footnoteReference w:id="98"/>
      </w:r>
      <w:r w:rsidR="0097391C" w:rsidRPr="0030135C">
        <w:rPr>
          <w:rFonts w:eastAsia="Times New Roman"/>
        </w:rPr>
        <w:t>, así como de otros muebles donde se han encontrado sus escudos, son muestra de su compromiso con los ar</w:t>
      </w:r>
      <w:r w:rsidR="008127EB" w:rsidRPr="0030135C">
        <w:rPr>
          <w:rFonts w:eastAsia="Times New Roman"/>
        </w:rPr>
        <w:t>t</w:t>
      </w:r>
      <w:r w:rsidR="0097391C" w:rsidRPr="0030135C">
        <w:rPr>
          <w:rFonts w:eastAsia="Times New Roman"/>
        </w:rPr>
        <w:t>istas locales</w:t>
      </w:r>
      <w:r w:rsidR="000174F2" w:rsidRPr="0030135C">
        <w:rPr>
          <w:rStyle w:val="Marquenotebasdepage"/>
          <w:rFonts w:eastAsia="Times New Roman"/>
        </w:rPr>
        <w:footnoteReference w:id="99"/>
      </w:r>
      <w:r w:rsidR="0097391C" w:rsidRPr="0030135C">
        <w:rPr>
          <w:rFonts w:eastAsia="Times New Roman"/>
        </w:rPr>
        <w:t xml:space="preserve">. </w:t>
      </w:r>
      <w:r w:rsidR="00B06ED9">
        <w:rPr>
          <w:rFonts w:eastAsia="Times New Roman"/>
        </w:rPr>
        <w:t>Pero l</w:t>
      </w:r>
      <w:r w:rsidR="008127EB" w:rsidRPr="0030135C">
        <w:rPr>
          <w:rFonts w:eastAsia="Times New Roman"/>
        </w:rPr>
        <w:t>o má</w:t>
      </w:r>
      <w:r w:rsidR="00BE6602" w:rsidRPr="0030135C">
        <w:rPr>
          <w:rFonts w:eastAsia="Times New Roman"/>
        </w:rPr>
        <w:t>s relevante de su</w:t>
      </w:r>
      <w:r w:rsidR="00DE653A" w:rsidRPr="0030135C">
        <w:rPr>
          <w:rFonts w:eastAsia="Times New Roman"/>
        </w:rPr>
        <w:t xml:space="preserve"> virreinato </w:t>
      </w:r>
      <w:r w:rsidR="00CC0DCF" w:rsidRPr="0030135C">
        <w:rPr>
          <w:rFonts w:eastAsia="Times New Roman"/>
        </w:rPr>
        <w:t xml:space="preserve">en el campo artístico </w:t>
      </w:r>
      <w:r w:rsidR="0097391C" w:rsidRPr="0030135C">
        <w:rPr>
          <w:rFonts w:eastAsia="Times New Roman"/>
        </w:rPr>
        <w:t>fue la consagración de</w:t>
      </w:r>
      <w:r w:rsidR="00DE653A" w:rsidRPr="0030135C">
        <w:rPr>
          <w:rFonts w:eastAsia="Times New Roman"/>
        </w:rPr>
        <w:t xml:space="preserve"> la Catedral de México, </w:t>
      </w:r>
      <w:r w:rsidR="00C32C14" w:rsidRPr="0030135C">
        <w:rPr>
          <w:rFonts w:eastAsia="Times New Roman"/>
        </w:rPr>
        <w:t xml:space="preserve">por fin </w:t>
      </w:r>
      <w:r w:rsidR="00B35382" w:rsidRPr="0030135C">
        <w:rPr>
          <w:rFonts w:eastAsia="Times New Roman"/>
        </w:rPr>
        <w:t xml:space="preserve">posible </w:t>
      </w:r>
      <w:r w:rsidR="0097391C" w:rsidRPr="0030135C">
        <w:rPr>
          <w:rFonts w:eastAsia="Times New Roman"/>
        </w:rPr>
        <w:t>gracias al</w:t>
      </w:r>
      <w:r w:rsidR="00BE6B10" w:rsidRPr="0030135C">
        <w:rPr>
          <w:rFonts w:eastAsia="Times New Roman"/>
        </w:rPr>
        <w:t xml:space="preserve"> gran</w:t>
      </w:r>
      <w:r w:rsidR="00DE653A" w:rsidRPr="0030135C">
        <w:rPr>
          <w:rFonts w:eastAsia="Times New Roman"/>
        </w:rPr>
        <w:t xml:space="preserve"> empeño</w:t>
      </w:r>
      <w:r w:rsidR="00AF6FA5" w:rsidRPr="0030135C">
        <w:rPr>
          <w:rFonts w:eastAsia="Times New Roman"/>
        </w:rPr>
        <w:t xml:space="preserve"> </w:t>
      </w:r>
      <w:r w:rsidR="00BE6B10" w:rsidRPr="0030135C">
        <w:rPr>
          <w:rFonts w:eastAsia="Times New Roman"/>
        </w:rPr>
        <w:t xml:space="preserve">que él mismo puso </w:t>
      </w:r>
      <w:r w:rsidR="00AF6FA5" w:rsidRPr="0030135C">
        <w:rPr>
          <w:rFonts w:eastAsia="Times New Roman"/>
        </w:rPr>
        <w:t xml:space="preserve">en la terminación de las bóvedas </w:t>
      </w:r>
      <w:r w:rsidR="00DE653A" w:rsidRPr="0030135C">
        <w:rPr>
          <w:rStyle w:val="Marquenotebasdepage"/>
          <w:rFonts w:eastAsia="Times New Roman"/>
        </w:rPr>
        <w:footnoteReference w:id="100"/>
      </w:r>
      <w:r w:rsidR="00DE653A" w:rsidRPr="0030135C">
        <w:rPr>
          <w:rFonts w:eastAsia="Times New Roman"/>
        </w:rPr>
        <w:t xml:space="preserve">. </w:t>
      </w:r>
      <w:r w:rsidR="00B35382" w:rsidRPr="0030135C">
        <w:rPr>
          <w:rFonts w:eastAsia="Times New Roman"/>
        </w:rPr>
        <w:t xml:space="preserve">En </w:t>
      </w:r>
      <w:r w:rsidR="00BE6602" w:rsidRPr="0030135C">
        <w:rPr>
          <w:rFonts w:eastAsia="Times New Roman"/>
        </w:rPr>
        <w:t>1656 escribe al Rey,</w:t>
      </w:r>
      <w:r w:rsidR="00B35382" w:rsidRPr="0030135C">
        <w:rPr>
          <w:rFonts w:eastAsia="Times New Roman"/>
        </w:rPr>
        <w:t xml:space="preserve"> </w:t>
      </w:r>
      <w:r w:rsidR="00BE6602" w:rsidRPr="0030135C">
        <w:rPr>
          <w:rFonts w:eastAsia="Times New Roman"/>
        </w:rPr>
        <w:t>y le</w:t>
      </w:r>
      <w:r w:rsidR="00015FCA" w:rsidRPr="0030135C">
        <w:rPr>
          <w:rFonts w:eastAsia="Times New Roman"/>
        </w:rPr>
        <w:t xml:space="preserve"> da cuenta de </w:t>
      </w:r>
      <w:r w:rsidR="00B35382" w:rsidRPr="0030135C">
        <w:rPr>
          <w:rFonts w:eastAsia="Times New Roman"/>
        </w:rPr>
        <w:t xml:space="preserve">todo </w:t>
      </w:r>
      <w:r w:rsidR="00015FCA" w:rsidRPr="0030135C">
        <w:rPr>
          <w:rFonts w:eastAsia="Times New Roman"/>
        </w:rPr>
        <w:t xml:space="preserve">lo que </w:t>
      </w:r>
      <w:r w:rsidR="00502C83">
        <w:rPr>
          <w:rFonts w:eastAsia="Times New Roman"/>
        </w:rPr>
        <w:t>estaba acabado en el templo</w:t>
      </w:r>
      <w:r w:rsidR="00B35382" w:rsidRPr="0030135C">
        <w:rPr>
          <w:rStyle w:val="Marquenotebasdepage"/>
          <w:rFonts w:eastAsia="Times New Roman"/>
        </w:rPr>
        <w:footnoteReference w:id="101"/>
      </w:r>
      <w:r w:rsidR="00B35382" w:rsidRPr="0030135C">
        <w:rPr>
          <w:rFonts w:eastAsia="Times New Roman"/>
        </w:rPr>
        <w:t xml:space="preserve">. </w:t>
      </w:r>
      <w:r w:rsidR="00DE653A" w:rsidRPr="0030135C">
        <w:rPr>
          <w:rFonts w:eastAsia="Times New Roman"/>
        </w:rPr>
        <w:t>El sacerdote y secretario del c</w:t>
      </w:r>
      <w:r w:rsidR="006D0488" w:rsidRPr="0030135C">
        <w:rPr>
          <w:rFonts w:eastAsia="Times New Roman"/>
        </w:rPr>
        <w:t>abildo de México, Gregorio Martí</w:t>
      </w:r>
      <w:r w:rsidR="00DE653A" w:rsidRPr="0030135C">
        <w:rPr>
          <w:rFonts w:eastAsia="Times New Roman"/>
        </w:rPr>
        <w:t xml:space="preserve">n Guijo, apunta en su </w:t>
      </w:r>
      <w:r w:rsidR="00DE653A" w:rsidRPr="0030135C">
        <w:rPr>
          <w:rFonts w:eastAsia="Times New Roman"/>
          <w:i/>
        </w:rPr>
        <w:t>Diario</w:t>
      </w:r>
      <w:r w:rsidR="00DE653A" w:rsidRPr="0030135C">
        <w:rPr>
          <w:rFonts w:eastAsia="Times New Roman"/>
        </w:rPr>
        <w:t xml:space="preserve"> que Alburquerque acudía a diario a </w:t>
      </w:r>
      <w:r w:rsidR="00015FCA" w:rsidRPr="0030135C">
        <w:rPr>
          <w:rFonts w:eastAsia="Times New Roman"/>
        </w:rPr>
        <w:t xml:space="preserve">vigilar las obras </w:t>
      </w:r>
      <w:r w:rsidR="00DE653A" w:rsidRPr="0030135C">
        <w:rPr>
          <w:rFonts w:eastAsia="Times New Roman"/>
        </w:rPr>
        <w:t xml:space="preserve"> y que “en menos de dos años hizo el virrey más que todos los demás virreyes que han gobernado este reino, desde que se empezó la iglesia”</w:t>
      </w:r>
      <w:r w:rsidR="00DE653A" w:rsidRPr="0030135C">
        <w:rPr>
          <w:rStyle w:val="Marquenotebasdepage"/>
          <w:rFonts w:eastAsia="Times New Roman"/>
        </w:rPr>
        <w:footnoteReference w:id="102"/>
      </w:r>
      <w:r w:rsidR="00DE653A" w:rsidRPr="0030135C">
        <w:rPr>
          <w:rFonts w:eastAsia="Times New Roman"/>
        </w:rPr>
        <w:t>.</w:t>
      </w:r>
      <w:r w:rsidR="00A26746" w:rsidRPr="0030135C">
        <w:rPr>
          <w:rFonts w:eastAsia="Times New Roman"/>
        </w:rPr>
        <w:t xml:space="preserve"> </w:t>
      </w:r>
      <w:r w:rsidR="00D53CA9">
        <w:rPr>
          <w:rFonts w:eastAsia="Times New Roman"/>
        </w:rPr>
        <w:t>La catedral de Morelia fue otra</w:t>
      </w:r>
      <w:r w:rsidR="00B03314">
        <w:rPr>
          <w:rFonts w:eastAsia="Times New Roman"/>
        </w:rPr>
        <w:t xml:space="preserve"> </w:t>
      </w:r>
      <w:r w:rsidR="009F39BD">
        <w:rPr>
          <w:rFonts w:eastAsia="Times New Roman"/>
        </w:rPr>
        <w:t>construcción que impulsó Alburquerque</w:t>
      </w:r>
      <w:r w:rsidR="00B03314">
        <w:rPr>
          <w:rFonts w:eastAsia="Times New Roman"/>
        </w:rPr>
        <w:t>, contratando al arqu</w:t>
      </w:r>
      <w:r w:rsidR="00D53CA9">
        <w:rPr>
          <w:rFonts w:eastAsia="Times New Roman"/>
        </w:rPr>
        <w:t>itecto italiano Vincenzo Barrocc</w:t>
      </w:r>
      <w:r w:rsidR="00B03314">
        <w:rPr>
          <w:rFonts w:eastAsia="Times New Roman"/>
        </w:rPr>
        <w:t>io, que puso las primeras piedras al final de su virreinato</w:t>
      </w:r>
      <w:r w:rsidR="00B03314">
        <w:rPr>
          <w:rStyle w:val="Marquenotebasdepage"/>
          <w:rFonts w:eastAsia="Times New Roman"/>
        </w:rPr>
        <w:footnoteReference w:id="103"/>
      </w:r>
      <w:r w:rsidR="00B03314">
        <w:rPr>
          <w:rFonts w:eastAsia="Times New Roman"/>
        </w:rPr>
        <w:t xml:space="preserve">. </w:t>
      </w:r>
    </w:p>
    <w:p w14:paraId="262A9FBA" w14:textId="45759C4E" w:rsidR="00B06ED9" w:rsidRPr="0030135C" w:rsidRDefault="00B06ED9" w:rsidP="00B06ED9">
      <w:pPr>
        <w:spacing w:line="360" w:lineRule="auto"/>
        <w:jc w:val="both"/>
        <w:rPr>
          <w:rFonts w:eastAsia="Times New Roman"/>
        </w:rPr>
      </w:pPr>
      <w:r w:rsidRPr="0030135C">
        <w:rPr>
          <w:rFonts w:eastAsia="Times New Roman"/>
        </w:rPr>
        <w:t>Pocas son las imágenes del virrey Alburquerque que se conservan</w:t>
      </w:r>
      <w:r>
        <w:rPr>
          <w:rFonts w:eastAsia="Times New Roman"/>
        </w:rPr>
        <w:t xml:space="preserve"> de este periodo</w:t>
      </w:r>
      <w:r w:rsidRPr="0030135C">
        <w:rPr>
          <w:rFonts w:eastAsia="Times New Roman"/>
        </w:rPr>
        <w:t xml:space="preserve">. Junto con los </w:t>
      </w:r>
      <w:r w:rsidRPr="00502C83">
        <w:rPr>
          <w:rFonts w:eastAsia="Times New Roman"/>
        </w:rPr>
        <w:t>citados retratos del Museo Nacional y del Salón de los cabildos de</w:t>
      </w:r>
      <w:r>
        <w:rPr>
          <w:rFonts w:eastAsia="Times New Roman"/>
        </w:rPr>
        <w:t xml:space="preserve"> México </w:t>
      </w:r>
      <w:r w:rsidRPr="00D53CA9">
        <w:rPr>
          <w:rFonts w:eastAsia="Times New Roman"/>
        </w:rPr>
        <w:t>(</w:t>
      </w:r>
      <w:r w:rsidR="00D53CA9" w:rsidRPr="00D53CA9">
        <w:rPr>
          <w:rFonts w:eastAsia="Times New Roman"/>
        </w:rPr>
        <w:t>f</w:t>
      </w:r>
      <w:r w:rsidRPr="00D53CA9">
        <w:rPr>
          <w:rFonts w:eastAsia="Times New Roman"/>
        </w:rPr>
        <w:t>ig. 9),</w:t>
      </w:r>
      <w:r w:rsidRPr="0030135C">
        <w:rPr>
          <w:rFonts w:eastAsia="Times New Roman"/>
        </w:rPr>
        <w:t xml:space="preserve"> sólo nos queda una estampa de</w:t>
      </w:r>
      <w:r w:rsidR="00B64EB9">
        <w:rPr>
          <w:rFonts w:eastAsia="Times New Roman"/>
        </w:rPr>
        <w:t xml:space="preserve"> 1657 donde</w:t>
      </w:r>
      <w:r w:rsidRPr="0030135C">
        <w:rPr>
          <w:rFonts w:eastAsia="Times New Roman"/>
        </w:rPr>
        <w:t xml:space="preserve"> Alburquerque a</w:t>
      </w:r>
      <w:r w:rsidR="00B64EB9">
        <w:rPr>
          <w:rFonts w:eastAsia="Times New Roman"/>
        </w:rPr>
        <w:t>parece a</w:t>
      </w:r>
      <w:r w:rsidRPr="0030135C">
        <w:rPr>
          <w:rFonts w:eastAsia="Times New Roman"/>
        </w:rPr>
        <w:t xml:space="preserve"> caballo, enmarcado entre dos columnas salomóni</w:t>
      </w:r>
      <w:r>
        <w:rPr>
          <w:rFonts w:eastAsia="Times New Roman"/>
        </w:rPr>
        <w:t>cas, seguido de su tropa</w:t>
      </w:r>
      <w:r w:rsidRPr="0030135C">
        <w:rPr>
          <w:rFonts w:eastAsia="Times New Roman"/>
        </w:rPr>
        <w:t xml:space="preserve">, frente a un puerto de mar que se supone Veracruz </w:t>
      </w:r>
      <w:r w:rsidRPr="00B725CC">
        <w:rPr>
          <w:rFonts w:eastAsia="Times New Roman"/>
        </w:rPr>
        <w:t>(fig. 21)</w:t>
      </w:r>
      <w:r w:rsidRPr="00B725CC">
        <w:rPr>
          <w:rStyle w:val="Marquenotebasdepage"/>
          <w:rFonts w:eastAsia="Times New Roman"/>
        </w:rPr>
        <w:footnoteReference w:id="104"/>
      </w:r>
      <w:r w:rsidRPr="00B725CC">
        <w:rPr>
          <w:rFonts w:eastAsia="Times New Roman"/>
        </w:rPr>
        <w:t>.</w:t>
      </w:r>
      <w:r w:rsidRPr="0030135C">
        <w:rPr>
          <w:rFonts w:eastAsia="Times New Roman"/>
        </w:rPr>
        <w:t xml:space="preserve"> </w:t>
      </w:r>
      <w:r w:rsidR="00B64EB9">
        <w:rPr>
          <w:rFonts w:eastAsia="Times New Roman"/>
        </w:rPr>
        <w:t>S</w:t>
      </w:r>
      <w:r>
        <w:rPr>
          <w:rFonts w:eastAsia="Times New Roman"/>
        </w:rPr>
        <w:t xml:space="preserve">e </w:t>
      </w:r>
      <w:r w:rsidR="00B64EB9">
        <w:rPr>
          <w:rFonts w:eastAsia="Times New Roman"/>
        </w:rPr>
        <w:t xml:space="preserve">le </w:t>
      </w:r>
      <w:r>
        <w:rPr>
          <w:rFonts w:eastAsia="Times New Roman"/>
        </w:rPr>
        <w:t xml:space="preserve">representa de nuevo como militar, vestido con armadura y llevando en la mano derecha el bastón en la mando, igual que en el retrato de Wautier pintado </w:t>
      </w:r>
      <w:r w:rsidR="00B725CC">
        <w:rPr>
          <w:rFonts w:eastAsia="Times New Roman"/>
        </w:rPr>
        <w:t>tiempo</w:t>
      </w:r>
      <w:r>
        <w:rPr>
          <w:rFonts w:eastAsia="Times New Roman"/>
        </w:rPr>
        <w:t xml:space="preserve"> atrás. </w:t>
      </w:r>
    </w:p>
    <w:p w14:paraId="44CAFAD5" w14:textId="35BE5AA9" w:rsidR="00DE653A" w:rsidRPr="0030135C" w:rsidRDefault="00DE653A" w:rsidP="0030135C">
      <w:pPr>
        <w:spacing w:line="360" w:lineRule="auto"/>
        <w:jc w:val="both"/>
        <w:rPr>
          <w:rFonts w:eastAsia="Times New Roman"/>
        </w:rPr>
      </w:pPr>
      <w:r w:rsidRPr="0030135C">
        <w:rPr>
          <w:rFonts w:eastAsia="Times New Roman"/>
        </w:rPr>
        <w:t>Después de siete años en México volvió a España. La sentencia del Consejo Real de las Indias le a</w:t>
      </w:r>
      <w:r w:rsidR="009C1B7A" w:rsidRPr="0030135C">
        <w:rPr>
          <w:rFonts w:eastAsia="Times New Roman"/>
        </w:rPr>
        <w:t xml:space="preserve">mputaba 31 cargos </w:t>
      </w:r>
      <w:r w:rsidR="00AF6FA5" w:rsidRPr="0030135C">
        <w:rPr>
          <w:rFonts w:eastAsia="Times New Roman"/>
        </w:rPr>
        <w:t>de los que queda</w:t>
      </w:r>
      <w:r w:rsidRPr="0030135C">
        <w:rPr>
          <w:rFonts w:eastAsia="Times New Roman"/>
        </w:rPr>
        <w:t>rá absuelto en 1665</w:t>
      </w:r>
      <w:r w:rsidRPr="0030135C">
        <w:rPr>
          <w:rStyle w:val="Marquenotebasdepage"/>
          <w:rFonts w:eastAsia="Times New Roman"/>
        </w:rPr>
        <w:footnoteReference w:id="105"/>
      </w:r>
      <w:r w:rsidR="006D0488" w:rsidRPr="0030135C">
        <w:rPr>
          <w:rFonts w:eastAsia="Times New Roman"/>
        </w:rPr>
        <w:t>. Al poco de su llegada</w:t>
      </w:r>
      <w:r w:rsidR="00AF6FA5" w:rsidRPr="0030135C">
        <w:rPr>
          <w:rFonts w:eastAsia="Times New Roman"/>
        </w:rPr>
        <w:t xml:space="preserve"> varios poetas granadinos </w:t>
      </w:r>
      <w:r w:rsidRPr="0030135C">
        <w:rPr>
          <w:rFonts w:eastAsia="Times New Roman"/>
        </w:rPr>
        <w:t>publica</w:t>
      </w:r>
      <w:r w:rsidR="000C7F34" w:rsidRPr="0030135C">
        <w:rPr>
          <w:rFonts w:eastAsia="Times New Roman"/>
        </w:rPr>
        <w:t>n</w:t>
      </w:r>
      <w:r w:rsidRPr="0030135C">
        <w:rPr>
          <w:rFonts w:eastAsia="Times New Roman"/>
        </w:rPr>
        <w:t xml:space="preserve"> </w:t>
      </w:r>
      <w:r w:rsidR="00AF6FA5" w:rsidRPr="0030135C">
        <w:rPr>
          <w:rFonts w:eastAsia="Times New Roman"/>
        </w:rPr>
        <w:t xml:space="preserve">una serie de </w:t>
      </w:r>
      <w:r w:rsidR="009C1B7A" w:rsidRPr="0030135C">
        <w:rPr>
          <w:rFonts w:eastAsia="Times New Roman"/>
        </w:rPr>
        <w:t>versos</w:t>
      </w:r>
      <w:r w:rsidRPr="0030135C">
        <w:rPr>
          <w:rFonts w:eastAsia="Times New Roman"/>
        </w:rPr>
        <w:t xml:space="preserve"> panegírico</w:t>
      </w:r>
      <w:r w:rsidR="00B725CC">
        <w:rPr>
          <w:rFonts w:eastAsia="Times New Roman"/>
        </w:rPr>
        <w:t>s para celebrar su</w:t>
      </w:r>
      <w:r w:rsidRPr="0030135C">
        <w:rPr>
          <w:rFonts w:eastAsia="Times New Roman"/>
        </w:rPr>
        <w:t xml:space="preserve"> regreso, “sus heroicas</w:t>
      </w:r>
      <w:r w:rsidR="000C7F34" w:rsidRPr="0030135C">
        <w:rPr>
          <w:rFonts w:eastAsia="Times New Roman"/>
        </w:rPr>
        <w:t xml:space="preserve"> hazañas y gloriosas victorias”</w:t>
      </w:r>
      <w:r w:rsidR="00B725CC">
        <w:rPr>
          <w:rFonts w:eastAsia="Times New Roman"/>
        </w:rPr>
        <w:t xml:space="preserve">, </w:t>
      </w:r>
      <w:r w:rsidRPr="0030135C">
        <w:rPr>
          <w:rFonts w:eastAsia="Times New Roman"/>
        </w:rPr>
        <w:t>y los méritos de sus antepasados, presentando su vida como un modelo de conducta, particularmente en el ámbito militar</w:t>
      </w:r>
      <w:r w:rsidRPr="0030135C">
        <w:rPr>
          <w:rStyle w:val="Marquenotebasdepage"/>
          <w:rFonts w:eastAsia="Times New Roman"/>
        </w:rPr>
        <w:footnoteReference w:id="106"/>
      </w:r>
      <w:r w:rsidR="00700E5A" w:rsidRPr="0030135C">
        <w:rPr>
          <w:rFonts w:eastAsia="Times New Roman"/>
        </w:rPr>
        <w:t>. En 1662</w:t>
      </w:r>
      <w:r w:rsidR="008D2DF6" w:rsidRPr="0030135C">
        <w:rPr>
          <w:rFonts w:eastAsia="Times New Roman"/>
        </w:rPr>
        <w:t xml:space="preserve"> fue</w:t>
      </w:r>
      <w:r w:rsidR="006D0488" w:rsidRPr="0030135C">
        <w:rPr>
          <w:rFonts w:eastAsia="Times New Roman"/>
        </w:rPr>
        <w:t xml:space="preserve"> nombrado por el Rey</w:t>
      </w:r>
      <w:r w:rsidRPr="0030135C">
        <w:rPr>
          <w:rFonts w:eastAsia="Times New Roman"/>
        </w:rPr>
        <w:t xml:space="preserve"> Capitán General de la Armada del mar Océano</w:t>
      </w:r>
      <w:r w:rsidR="008D2DF6" w:rsidRPr="0030135C">
        <w:rPr>
          <w:rFonts w:eastAsia="Times New Roman"/>
        </w:rPr>
        <w:t xml:space="preserve">, y posteriormente ascendido </w:t>
      </w:r>
      <w:r w:rsidR="00466BCE" w:rsidRPr="0030135C">
        <w:rPr>
          <w:rFonts w:eastAsia="Times New Roman"/>
        </w:rPr>
        <w:t xml:space="preserve">a </w:t>
      </w:r>
      <w:r w:rsidR="008D2DF6" w:rsidRPr="0030135C">
        <w:rPr>
          <w:rFonts w:eastAsia="Times New Roman"/>
        </w:rPr>
        <w:t>Teniente General de la mar</w:t>
      </w:r>
      <w:r w:rsidR="00700E5A" w:rsidRPr="0030135C">
        <w:rPr>
          <w:rFonts w:eastAsia="Times New Roman"/>
        </w:rPr>
        <w:t xml:space="preserve"> (1644)</w:t>
      </w:r>
      <w:r w:rsidRPr="0030135C">
        <w:rPr>
          <w:rStyle w:val="Marquenotebasdepage"/>
          <w:rFonts w:eastAsia="Times New Roman"/>
        </w:rPr>
        <w:footnoteReference w:id="107"/>
      </w:r>
      <w:r w:rsidRPr="0030135C">
        <w:rPr>
          <w:rFonts w:eastAsia="Times New Roman"/>
        </w:rPr>
        <w:t>.</w:t>
      </w:r>
      <w:r w:rsidR="00A54AF8" w:rsidRPr="0030135C">
        <w:rPr>
          <w:rFonts w:eastAsia="Times New Roman"/>
        </w:rPr>
        <w:t xml:space="preserve"> Aún teniendo problemas de salud Alburquerque condujo </w:t>
      </w:r>
      <w:r w:rsidR="00466BCE" w:rsidRPr="0030135C">
        <w:rPr>
          <w:rFonts w:eastAsia="Times New Roman"/>
        </w:rPr>
        <w:t>a la infanta Margarita a Viena</w:t>
      </w:r>
      <w:r w:rsidR="009C1B7A" w:rsidRPr="0030135C">
        <w:rPr>
          <w:rFonts w:eastAsia="Times New Roman"/>
        </w:rPr>
        <w:t xml:space="preserve"> como su M</w:t>
      </w:r>
      <w:r w:rsidR="00466BCE" w:rsidRPr="0030135C">
        <w:rPr>
          <w:rFonts w:eastAsia="Times New Roman"/>
        </w:rPr>
        <w:t>ayordomo mayor</w:t>
      </w:r>
      <w:r w:rsidR="00A54AF8" w:rsidRPr="0030135C">
        <w:rPr>
          <w:rFonts w:eastAsia="Times New Roman"/>
        </w:rPr>
        <w:t xml:space="preserve"> (1666)</w:t>
      </w:r>
      <w:r w:rsidR="00466BCE" w:rsidRPr="0030135C">
        <w:rPr>
          <w:rFonts w:eastAsia="Times New Roman"/>
        </w:rPr>
        <w:t>, siendo su esposa la primera dama de honor de la Emperatriz, a quien acompañaba dentro de la carroza y en los recibimientos de embajadas que tuvo en su camino</w:t>
      </w:r>
      <w:r w:rsidR="00466BCE" w:rsidRPr="0030135C">
        <w:rPr>
          <w:rStyle w:val="Marquenotebasdepage"/>
          <w:rFonts w:eastAsia="Times New Roman"/>
        </w:rPr>
        <w:footnoteReference w:id="108"/>
      </w:r>
      <w:r w:rsidR="00466BCE" w:rsidRPr="0030135C">
        <w:rPr>
          <w:rFonts w:eastAsia="Times New Roman"/>
        </w:rPr>
        <w:t>. La corona quedó tan satisfecha de</w:t>
      </w:r>
      <w:r w:rsidR="00A54AF8" w:rsidRPr="0030135C">
        <w:rPr>
          <w:rFonts w:eastAsia="Times New Roman"/>
        </w:rPr>
        <w:t xml:space="preserve">l éxito de </w:t>
      </w:r>
      <w:r w:rsidR="00C85A83" w:rsidRPr="0030135C">
        <w:rPr>
          <w:rFonts w:eastAsia="Times New Roman"/>
        </w:rPr>
        <w:t>su</w:t>
      </w:r>
      <w:r w:rsidR="00466BCE" w:rsidRPr="0030135C">
        <w:rPr>
          <w:rFonts w:eastAsia="Times New Roman"/>
        </w:rPr>
        <w:t xml:space="preserve"> misión que fue nombrado Consejero de Estado y Virrey de Sicilia</w:t>
      </w:r>
      <w:r w:rsidR="00466BCE" w:rsidRPr="0030135C">
        <w:rPr>
          <w:rStyle w:val="Marquenotebasdepage"/>
          <w:rFonts w:eastAsia="Times New Roman"/>
        </w:rPr>
        <w:footnoteReference w:id="109"/>
      </w:r>
      <w:r w:rsidR="00466BCE" w:rsidRPr="0030135C">
        <w:rPr>
          <w:rFonts w:eastAsia="Times New Roman"/>
        </w:rPr>
        <w:t>, cargo que desempeño tres años</w:t>
      </w:r>
      <w:r w:rsidR="009C1B7A" w:rsidRPr="0030135C">
        <w:rPr>
          <w:rFonts w:eastAsia="Times New Roman"/>
        </w:rPr>
        <w:t xml:space="preserve"> (1668-1670)</w:t>
      </w:r>
      <w:r w:rsidR="00466BCE" w:rsidRPr="0030135C">
        <w:rPr>
          <w:rFonts w:eastAsia="Times New Roman"/>
        </w:rPr>
        <w:t>, teniendo especial actuación en la revuelta de Messina</w:t>
      </w:r>
      <w:r w:rsidR="00466BCE" w:rsidRPr="0030135C">
        <w:rPr>
          <w:rStyle w:val="Marquenotebasdepage"/>
          <w:rFonts w:eastAsia="Times New Roman"/>
        </w:rPr>
        <w:footnoteReference w:id="110"/>
      </w:r>
      <w:r w:rsidR="00466BCE" w:rsidRPr="0030135C">
        <w:rPr>
          <w:rFonts w:eastAsia="Times New Roman"/>
        </w:rPr>
        <w:t xml:space="preserve">. Al fallecer Felipe IV vuelve a España, reclamado por Mariana de Austria para </w:t>
      </w:r>
      <w:r w:rsidR="00E17EEA" w:rsidRPr="0030135C">
        <w:rPr>
          <w:rFonts w:eastAsia="Times New Roman"/>
        </w:rPr>
        <w:t xml:space="preserve">su puesto en </w:t>
      </w:r>
      <w:r w:rsidR="00466BCE" w:rsidRPr="0030135C">
        <w:rPr>
          <w:rFonts w:eastAsia="Times New Roman"/>
        </w:rPr>
        <w:t>el Consejo de Estado</w:t>
      </w:r>
      <w:r w:rsidR="00E17EEA" w:rsidRPr="0030135C">
        <w:rPr>
          <w:rFonts w:eastAsia="Times New Roman"/>
        </w:rPr>
        <w:t>, siendo después nombrado Mayordomo mayor del Rey Carlos II</w:t>
      </w:r>
      <w:r w:rsidR="00466BCE" w:rsidRPr="0030135C">
        <w:rPr>
          <w:rFonts w:eastAsia="Times New Roman"/>
        </w:rPr>
        <w:t>.</w:t>
      </w:r>
      <w:r w:rsidR="00B709EF" w:rsidRPr="0030135C">
        <w:rPr>
          <w:rFonts w:eastAsia="Times New Roman"/>
        </w:rPr>
        <w:t xml:space="preserve"> Muri</w:t>
      </w:r>
      <w:r w:rsidR="008161A4" w:rsidRPr="0030135C">
        <w:rPr>
          <w:rFonts w:eastAsia="Times New Roman"/>
        </w:rPr>
        <w:t>ó</w:t>
      </w:r>
      <w:r w:rsidR="00B709EF" w:rsidRPr="0030135C">
        <w:rPr>
          <w:rFonts w:eastAsia="Times New Roman"/>
        </w:rPr>
        <w:t xml:space="preserve"> en 1676, y sus restos se inhumaron en Cuéllar, en la iglesia del convento de San Francisco</w:t>
      </w:r>
      <w:r w:rsidR="00C85A83" w:rsidRPr="0030135C">
        <w:rPr>
          <w:rFonts w:eastAsia="Times New Roman"/>
        </w:rPr>
        <w:t xml:space="preserve"> según sus deseos</w:t>
      </w:r>
      <w:r w:rsidR="00B709EF" w:rsidRPr="0030135C">
        <w:rPr>
          <w:rStyle w:val="Marquenotebasdepage"/>
          <w:rFonts w:eastAsia="Times New Roman"/>
        </w:rPr>
        <w:footnoteReference w:id="111"/>
      </w:r>
      <w:r w:rsidR="00B709EF" w:rsidRPr="0030135C">
        <w:rPr>
          <w:rFonts w:eastAsia="Times New Roman"/>
        </w:rPr>
        <w:t xml:space="preserve">. </w:t>
      </w:r>
    </w:p>
    <w:p w14:paraId="6454C17C" w14:textId="210C3C06" w:rsidR="00BE471A" w:rsidRPr="0030135C" w:rsidRDefault="00C85A83" w:rsidP="0030135C">
      <w:pPr>
        <w:spacing w:line="360" w:lineRule="auto"/>
        <w:jc w:val="both"/>
        <w:rPr>
          <w:rFonts w:eastAsia="Times New Roman"/>
        </w:rPr>
      </w:pPr>
      <w:r w:rsidRPr="0030135C">
        <w:rPr>
          <w:rFonts w:eastAsia="Times New Roman"/>
        </w:rPr>
        <w:t>Su testamento (</w:t>
      </w:r>
      <w:r w:rsidR="00870047" w:rsidRPr="0030135C">
        <w:rPr>
          <w:rFonts w:eastAsia="Times New Roman"/>
        </w:rPr>
        <w:t>1676</w:t>
      </w:r>
      <w:r w:rsidRPr="0030135C">
        <w:rPr>
          <w:rFonts w:eastAsia="Times New Roman"/>
        </w:rPr>
        <w:t>)</w:t>
      </w:r>
      <w:r w:rsidR="00870047" w:rsidRPr="0030135C">
        <w:rPr>
          <w:rFonts w:eastAsia="Times New Roman"/>
        </w:rPr>
        <w:t xml:space="preserve"> </w:t>
      </w:r>
      <w:r w:rsidRPr="0030135C">
        <w:rPr>
          <w:rFonts w:eastAsia="Times New Roman"/>
        </w:rPr>
        <w:t xml:space="preserve">deja clara constancia de su piedad religiosa, pero también de su amor por la pintura. </w:t>
      </w:r>
      <w:r w:rsidR="00D67520" w:rsidRPr="0030135C">
        <w:rPr>
          <w:rFonts w:eastAsia="Times New Roman"/>
        </w:rPr>
        <w:t xml:space="preserve">Menciona como obra de su “mayor estimación” una Santa Rosalía, que lega al Rey. </w:t>
      </w:r>
      <w:r w:rsidRPr="0030135C">
        <w:rPr>
          <w:rFonts w:eastAsia="Times New Roman"/>
        </w:rPr>
        <w:t xml:space="preserve">Se ha dicho que </w:t>
      </w:r>
      <w:r w:rsidR="00B725CC">
        <w:rPr>
          <w:rFonts w:eastAsia="Times New Roman"/>
        </w:rPr>
        <w:t xml:space="preserve">se trata de un </w:t>
      </w:r>
      <w:r w:rsidRPr="0030135C">
        <w:rPr>
          <w:rFonts w:eastAsia="Times New Roman"/>
        </w:rPr>
        <w:t>Van Dyck</w:t>
      </w:r>
      <w:r w:rsidR="00B725CC">
        <w:rPr>
          <w:rFonts w:eastAsia="Times New Roman"/>
        </w:rPr>
        <w:t>, identificándolo</w:t>
      </w:r>
      <w:r w:rsidR="00ED0C44" w:rsidRPr="0030135C">
        <w:rPr>
          <w:rFonts w:eastAsia="Times New Roman"/>
        </w:rPr>
        <w:t xml:space="preserve"> con el</w:t>
      </w:r>
      <w:r w:rsidR="00870047" w:rsidRPr="0030135C">
        <w:rPr>
          <w:rFonts w:eastAsia="Times New Roman"/>
        </w:rPr>
        <w:t xml:space="preserve"> lienzo </w:t>
      </w:r>
      <w:r w:rsidR="000C43E0" w:rsidRPr="0030135C">
        <w:rPr>
          <w:rFonts w:eastAsia="Times New Roman"/>
        </w:rPr>
        <w:t xml:space="preserve">de este asunto en </w:t>
      </w:r>
      <w:r w:rsidR="00870047" w:rsidRPr="0030135C">
        <w:rPr>
          <w:rFonts w:eastAsia="Times New Roman"/>
        </w:rPr>
        <w:t>el museo del Prado</w:t>
      </w:r>
      <w:r w:rsidR="00870047" w:rsidRPr="0030135C">
        <w:rPr>
          <w:rStyle w:val="Marquenotebasdepage"/>
          <w:rFonts w:eastAsia="Times New Roman"/>
        </w:rPr>
        <w:footnoteReference w:id="112"/>
      </w:r>
      <w:r w:rsidR="000C43E0" w:rsidRPr="0030135C">
        <w:rPr>
          <w:rFonts w:eastAsia="Times New Roman"/>
        </w:rPr>
        <w:t xml:space="preserve">. No obstante, </w:t>
      </w:r>
      <w:r w:rsidR="00ED0C44" w:rsidRPr="0030135C">
        <w:rPr>
          <w:rFonts w:eastAsia="Times New Roman"/>
        </w:rPr>
        <w:t>hoy</w:t>
      </w:r>
      <w:r w:rsidR="00907153" w:rsidRPr="0030135C">
        <w:rPr>
          <w:rFonts w:eastAsia="Times New Roman"/>
        </w:rPr>
        <w:t xml:space="preserve"> sabemos que </w:t>
      </w:r>
      <w:r w:rsidR="00ED0C44" w:rsidRPr="0030135C">
        <w:rPr>
          <w:rFonts w:eastAsia="Times New Roman"/>
        </w:rPr>
        <w:t xml:space="preserve">este </w:t>
      </w:r>
      <w:r w:rsidR="00DD3DA2" w:rsidRPr="0030135C">
        <w:rPr>
          <w:rFonts w:eastAsia="Times New Roman"/>
        </w:rPr>
        <w:t>Van Dyck</w:t>
      </w:r>
      <w:r w:rsidR="00ED0C44" w:rsidRPr="0030135C">
        <w:rPr>
          <w:rFonts w:eastAsia="Times New Roman"/>
        </w:rPr>
        <w:t xml:space="preserve"> había sido enviado al Rey años antes desde Nápoles</w:t>
      </w:r>
      <w:r w:rsidR="00086324" w:rsidRPr="0030135C">
        <w:rPr>
          <w:rFonts w:eastAsia="Times New Roman"/>
        </w:rPr>
        <w:t>,</w:t>
      </w:r>
      <w:r w:rsidR="00ED0C44" w:rsidRPr="0030135C">
        <w:rPr>
          <w:rFonts w:eastAsia="Times New Roman"/>
        </w:rPr>
        <w:t xml:space="preserve"> por </w:t>
      </w:r>
      <w:r w:rsidR="00907153" w:rsidRPr="0030135C">
        <w:rPr>
          <w:rFonts w:eastAsia="Times New Roman"/>
        </w:rPr>
        <w:t xml:space="preserve">el conde de </w:t>
      </w:r>
      <w:r w:rsidR="00171A5C" w:rsidRPr="0030135C">
        <w:rPr>
          <w:rFonts w:eastAsia="Times New Roman"/>
        </w:rPr>
        <w:t>Peñaranda</w:t>
      </w:r>
      <w:r w:rsidR="00ED0C44" w:rsidRPr="0030135C">
        <w:rPr>
          <w:rFonts w:eastAsia="Times New Roman"/>
        </w:rPr>
        <w:t xml:space="preserve"> (</w:t>
      </w:r>
      <w:r w:rsidR="00171A5C" w:rsidRPr="0030135C">
        <w:rPr>
          <w:rFonts w:eastAsia="Times New Roman"/>
        </w:rPr>
        <w:t>1664</w:t>
      </w:r>
      <w:r w:rsidR="00086324" w:rsidRPr="0030135C">
        <w:rPr>
          <w:rFonts w:eastAsia="Times New Roman"/>
        </w:rPr>
        <w:t>)</w:t>
      </w:r>
      <w:r w:rsidR="00907153" w:rsidRPr="0030135C">
        <w:rPr>
          <w:rFonts w:eastAsia="Times New Roman"/>
        </w:rPr>
        <w:t xml:space="preserve"> para decorar las estancias de El Escorial</w:t>
      </w:r>
      <w:r w:rsidR="00907153" w:rsidRPr="0030135C">
        <w:rPr>
          <w:rStyle w:val="Marquenotebasdepage"/>
          <w:rFonts w:eastAsia="Times New Roman"/>
        </w:rPr>
        <w:footnoteReference w:id="113"/>
      </w:r>
      <w:r w:rsidR="00907153" w:rsidRPr="0030135C">
        <w:rPr>
          <w:rFonts w:eastAsia="Times New Roman"/>
        </w:rPr>
        <w:t>.</w:t>
      </w:r>
      <w:r w:rsidR="00833511" w:rsidRPr="0030135C">
        <w:rPr>
          <w:rFonts w:eastAsia="Times New Roman"/>
        </w:rPr>
        <w:t xml:space="preserve"> </w:t>
      </w:r>
      <w:r w:rsidR="00870047" w:rsidRPr="0030135C">
        <w:rPr>
          <w:rFonts w:eastAsia="Times New Roman"/>
        </w:rPr>
        <w:t>A falta</w:t>
      </w:r>
      <w:r w:rsidR="00D67520" w:rsidRPr="0030135C">
        <w:rPr>
          <w:rFonts w:eastAsia="Times New Roman"/>
        </w:rPr>
        <w:t xml:space="preserve"> de poder consultar el testamento</w:t>
      </w:r>
      <w:r w:rsidR="00ED0C44" w:rsidRPr="0030135C">
        <w:rPr>
          <w:rFonts w:eastAsia="Times New Roman"/>
        </w:rPr>
        <w:t xml:space="preserve"> de Alburquerque en su totalidad</w:t>
      </w:r>
      <w:r w:rsidR="00870047" w:rsidRPr="0030135C">
        <w:rPr>
          <w:rFonts w:eastAsia="Times New Roman"/>
        </w:rPr>
        <w:t xml:space="preserve">, </w:t>
      </w:r>
      <w:r w:rsidR="000C43E0" w:rsidRPr="0030135C">
        <w:rPr>
          <w:rFonts w:eastAsia="Times New Roman"/>
        </w:rPr>
        <w:t xml:space="preserve">no hemos podido </w:t>
      </w:r>
      <w:r w:rsidR="00833511" w:rsidRPr="0030135C">
        <w:rPr>
          <w:rFonts w:eastAsia="Times New Roman"/>
        </w:rPr>
        <w:t>cerciorarnos</w:t>
      </w:r>
      <w:r w:rsidR="000C43E0" w:rsidRPr="0030135C">
        <w:rPr>
          <w:rFonts w:eastAsia="Times New Roman"/>
        </w:rPr>
        <w:t xml:space="preserve"> si se menciona el nombre de Van Dyck</w:t>
      </w:r>
      <w:r w:rsidR="00086324" w:rsidRPr="0030135C">
        <w:rPr>
          <w:rFonts w:eastAsia="Times New Roman"/>
        </w:rPr>
        <w:t xml:space="preserve"> en el </w:t>
      </w:r>
      <w:r w:rsidR="00DD3DA2" w:rsidRPr="0030135C">
        <w:rPr>
          <w:rFonts w:eastAsia="Times New Roman"/>
        </w:rPr>
        <w:t>documento</w:t>
      </w:r>
      <w:r w:rsidR="000C43E0" w:rsidRPr="0030135C">
        <w:rPr>
          <w:rFonts w:eastAsia="Times New Roman"/>
        </w:rPr>
        <w:t>. Recurriendo</w:t>
      </w:r>
      <w:r w:rsidR="00870047" w:rsidRPr="0030135C">
        <w:rPr>
          <w:rFonts w:eastAsia="Times New Roman"/>
        </w:rPr>
        <w:t xml:space="preserve"> a Fernández de Bethencourt, que transcribe con </w:t>
      </w:r>
      <w:r w:rsidR="00D67520" w:rsidRPr="0030135C">
        <w:rPr>
          <w:rFonts w:eastAsia="Times New Roman"/>
        </w:rPr>
        <w:t>cierta</w:t>
      </w:r>
      <w:r w:rsidR="00870047" w:rsidRPr="0030135C">
        <w:rPr>
          <w:rFonts w:eastAsia="Times New Roman"/>
        </w:rPr>
        <w:t xml:space="preserve"> amplitud la </w:t>
      </w:r>
      <w:r w:rsidR="007B281E" w:rsidRPr="0030135C">
        <w:rPr>
          <w:rFonts w:eastAsia="Times New Roman"/>
        </w:rPr>
        <w:t xml:space="preserve">entrada </w:t>
      </w:r>
      <w:r w:rsidR="000C43E0" w:rsidRPr="0030135C">
        <w:rPr>
          <w:rFonts w:eastAsia="Times New Roman"/>
        </w:rPr>
        <w:t xml:space="preserve">en </w:t>
      </w:r>
      <w:r w:rsidR="00833511" w:rsidRPr="0030135C">
        <w:rPr>
          <w:rFonts w:eastAsia="Times New Roman"/>
        </w:rPr>
        <w:t>cuestión</w:t>
      </w:r>
      <w:r w:rsidR="00870047" w:rsidRPr="0030135C">
        <w:rPr>
          <w:rFonts w:eastAsia="Times New Roman"/>
        </w:rPr>
        <w:t xml:space="preserve">, </w:t>
      </w:r>
      <w:r w:rsidR="00D67520" w:rsidRPr="0030135C">
        <w:rPr>
          <w:rFonts w:eastAsia="Times New Roman"/>
        </w:rPr>
        <w:t xml:space="preserve">constatamos </w:t>
      </w:r>
      <w:r w:rsidR="00086324" w:rsidRPr="0030135C">
        <w:rPr>
          <w:rFonts w:eastAsia="Times New Roman"/>
        </w:rPr>
        <w:t>la ausencia del nombre del pintor</w:t>
      </w:r>
      <w:r w:rsidR="00870047" w:rsidRPr="0030135C">
        <w:rPr>
          <w:rFonts w:eastAsia="Times New Roman"/>
        </w:rPr>
        <w:t xml:space="preserve">. Tampoco queda claro si se trata de una o de dos pinturas con el mismo tema: </w:t>
      </w:r>
      <w:r w:rsidR="000C43E0" w:rsidRPr="0030135C">
        <w:rPr>
          <w:rFonts w:eastAsia="Times New Roman"/>
        </w:rPr>
        <w:t xml:space="preserve">pues menciona </w:t>
      </w:r>
      <w:r w:rsidR="00B725CC">
        <w:t>una pintura de Santa Rosalí</w:t>
      </w:r>
      <w:r w:rsidR="00B725CC" w:rsidRPr="0030135C">
        <w:t>a</w:t>
      </w:r>
      <w:r w:rsidR="00833511" w:rsidRPr="0030135C">
        <w:t xml:space="preserve"> </w:t>
      </w:r>
      <w:r w:rsidR="00086324" w:rsidRPr="0030135C">
        <w:t>“</w:t>
      </w:r>
      <w:r w:rsidR="00833511" w:rsidRPr="0030135C">
        <w:t>en elevación, por ser la de mayor estimación, y devoción que tengo”</w:t>
      </w:r>
      <w:r w:rsidR="00833511" w:rsidRPr="0030135C">
        <w:rPr>
          <w:rFonts w:eastAsia="Times New Roman"/>
        </w:rPr>
        <w:t xml:space="preserve"> </w:t>
      </w:r>
      <w:r w:rsidR="00F53120" w:rsidRPr="0030135C">
        <w:rPr>
          <w:rFonts w:eastAsia="Times New Roman"/>
        </w:rPr>
        <w:t>-</w:t>
      </w:r>
      <w:r w:rsidR="000C43E0" w:rsidRPr="0030135C">
        <w:rPr>
          <w:rFonts w:eastAsia="Times New Roman"/>
        </w:rPr>
        <w:t xml:space="preserve">que </w:t>
      </w:r>
      <w:r w:rsidR="00870047" w:rsidRPr="0030135C">
        <w:rPr>
          <w:rFonts w:eastAsia="Times New Roman"/>
        </w:rPr>
        <w:t>lega al rey Carlos II</w:t>
      </w:r>
      <w:r w:rsidR="00F53120" w:rsidRPr="0030135C">
        <w:rPr>
          <w:rFonts w:eastAsia="Times New Roman"/>
        </w:rPr>
        <w:t>-</w:t>
      </w:r>
      <w:r w:rsidR="00086324" w:rsidRPr="0030135C">
        <w:rPr>
          <w:rFonts w:eastAsia="Times New Roman"/>
        </w:rPr>
        <w:t>;</w:t>
      </w:r>
      <w:r w:rsidR="00870047" w:rsidRPr="0030135C">
        <w:rPr>
          <w:rFonts w:eastAsia="Times New Roman"/>
        </w:rPr>
        <w:t xml:space="preserve"> </w:t>
      </w:r>
      <w:r w:rsidR="00086324" w:rsidRPr="0030135C">
        <w:rPr>
          <w:rFonts w:eastAsia="Times New Roman"/>
        </w:rPr>
        <w:t>y luego</w:t>
      </w:r>
      <w:r w:rsidR="00F53120" w:rsidRPr="0030135C">
        <w:rPr>
          <w:rFonts w:eastAsia="Times New Roman"/>
        </w:rPr>
        <w:t xml:space="preserve"> </w:t>
      </w:r>
      <w:r w:rsidR="000C43E0" w:rsidRPr="0030135C">
        <w:t>suplica</w:t>
      </w:r>
      <w:r w:rsidR="00F53120" w:rsidRPr="0030135C">
        <w:t xml:space="preserve"> </w:t>
      </w:r>
      <w:r w:rsidR="00833511" w:rsidRPr="0030135C">
        <w:t xml:space="preserve">a la </w:t>
      </w:r>
      <w:r w:rsidR="000C43E0" w:rsidRPr="0030135C">
        <w:t xml:space="preserve">reina admita como regalo </w:t>
      </w:r>
      <w:r w:rsidR="00086324" w:rsidRPr="0030135C">
        <w:t xml:space="preserve">una pintura </w:t>
      </w:r>
      <w:r w:rsidR="00870047" w:rsidRPr="0030135C">
        <w:t>dond</w:t>
      </w:r>
      <w:r w:rsidR="000C43E0" w:rsidRPr="0030135C">
        <w:t xml:space="preserve">e </w:t>
      </w:r>
      <w:r w:rsidR="00086324" w:rsidRPr="0030135C">
        <w:t xml:space="preserve">la santa </w:t>
      </w:r>
      <w:r w:rsidR="000C43E0" w:rsidRPr="0030135C">
        <w:t xml:space="preserve">está en penitencia </w:t>
      </w:r>
      <w:r w:rsidR="00870047" w:rsidRPr="0030135C">
        <w:t>(“una pintura de Santa Rosolea en penitencia, á que he tenido especial devoción”)</w:t>
      </w:r>
      <w:r w:rsidR="00870047" w:rsidRPr="0030135C">
        <w:rPr>
          <w:rStyle w:val="Marquenotebasdepage"/>
          <w:rFonts w:eastAsia="Times New Roman"/>
        </w:rPr>
        <w:footnoteReference w:id="114"/>
      </w:r>
      <w:r w:rsidR="00870047" w:rsidRPr="0030135C">
        <w:rPr>
          <w:rFonts w:eastAsia="Times New Roman"/>
        </w:rPr>
        <w:t xml:space="preserve">. </w:t>
      </w:r>
      <w:r w:rsidR="00174F7E">
        <w:rPr>
          <w:rFonts w:eastAsia="Times New Roman"/>
        </w:rPr>
        <w:t>Sin duda</w:t>
      </w:r>
      <w:r w:rsidR="00DD3DA2" w:rsidRPr="0030135C">
        <w:rPr>
          <w:rFonts w:eastAsia="Times New Roman"/>
        </w:rPr>
        <w:t xml:space="preserve"> Alburquerque tenía predilección por esta santa. De hecho, bautizó a </w:t>
      </w:r>
      <w:r w:rsidR="00303DE5" w:rsidRPr="0030135C">
        <w:rPr>
          <w:rFonts w:eastAsia="Times New Roman"/>
        </w:rPr>
        <w:t>su</w:t>
      </w:r>
      <w:r w:rsidR="00DD3DA2" w:rsidRPr="0030135C">
        <w:rPr>
          <w:rFonts w:eastAsia="Times New Roman"/>
        </w:rPr>
        <w:t xml:space="preserve"> única hija </w:t>
      </w:r>
      <w:r w:rsidR="002B6B0C" w:rsidRPr="0030135C">
        <w:rPr>
          <w:rFonts w:eastAsia="Times New Roman"/>
        </w:rPr>
        <w:t>Ana</w:t>
      </w:r>
      <w:r w:rsidR="00303DE5" w:rsidRPr="0030135C">
        <w:rPr>
          <w:rFonts w:eastAsia="Times New Roman"/>
        </w:rPr>
        <w:t xml:space="preserve"> Rosalía</w:t>
      </w:r>
      <w:r w:rsidR="002068A8" w:rsidRPr="0030135C">
        <w:rPr>
          <w:rFonts w:eastAsia="Times New Roman"/>
        </w:rPr>
        <w:t xml:space="preserve"> (1647-1716)</w:t>
      </w:r>
      <w:r w:rsidR="00DD3DA2" w:rsidRPr="0030135C">
        <w:rPr>
          <w:rFonts w:eastAsia="Times New Roman"/>
        </w:rPr>
        <w:t>. C</w:t>
      </w:r>
      <w:r w:rsidR="00303DE5" w:rsidRPr="0030135C">
        <w:rPr>
          <w:rFonts w:eastAsia="Times New Roman"/>
        </w:rPr>
        <w:t xml:space="preserve">ierto es que pudo haber adquirido </w:t>
      </w:r>
      <w:r w:rsidR="00B725CC">
        <w:rPr>
          <w:rFonts w:eastAsia="Times New Roman"/>
        </w:rPr>
        <w:t>un lienzo de</w:t>
      </w:r>
      <w:r w:rsidR="00303DE5" w:rsidRPr="0030135C">
        <w:rPr>
          <w:rFonts w:eastAsia="Times New Roman"/>
        </w:rPr>
        <w:t xml:space="preserve"> Van Dyck </w:t>
      </w:r>
      <w:r w:rsidR="00B725CC">
        <w:rPr>
          <w:rFonts w:eastAsia="Times New Roman"/>
        </w:rPr>
        <w:t xml:space="preserve">con este asunto </w:t>
      </w:r>
      <w:r w:rsidR="00303DE5" w:rsidRPr="0030135C">
        <w:rPr>
          <w:rFonts w:eastAsia="Times New Roman"/>
        </w:rPr>
        <w:t xml:space="preserve">durante su estancia en Sicilia, pues fue allí donde el pintor creó una nueva imagen iconográfica de la santa, habiéndose encontrado su cuerpo en Palermo en 1624.  </w:t>
      </w:r>
      <w:r w:rsidR="00DD3DA2" w:rsidRPr="0030135C">
        <w:rPr>
          <w:rFonts w:eastAsia="Times New Roman"/>
        </w:rPr>
        <w:t>Buena</w:t>
      </w:r>
      <w:r w:rsidR="000C43E0" w:rsidRPr="0030135C">
        <w:rPr>
          <w:rFonts w:eastAsia="Times New Roman"/>
        </w:rPr>
        <w:t xml:space="preserve"> parte de las </w:t>
      </w:r>
      <w:r w:rsidR="000C43E0" w:rsidRPr="0030135C">
        <w:rPr>
          <w:rFonts w:eastAsia="Times New Roman"/>
          <w:i/>
        </w:rPr>
        <w:t>Santa Rosalía</w:t>
      </w:r>
      <w:r w:rsidR="000C43E0" w:rsidRPr="0030135C">
        <w:rPr>
          <w:rFonts w:eastAsia="Times New Roman"/>
        </w:rPr>
        <w:t xml:space="preserve"> de Van Dyck proceden de España</w:t>
      </w:r>
      <w:r w:rsidR="000C43E0" w:rsidRPr="0030135C">
        <w:rPr>
          <w:rStyle w:val="Marquenotebasdepage"/>
          <w:rFonts w:eastAsia="Times New Roman"/>
        </w:rPr>
        <w:footnoteReference w:id="115"/>
      </w:r>
      <w:r w:rsidR="000C43E0" w:rsidRPr="0030135C">
        <w:rPr>
          <w:rFonts w:eastAsia="Times New Roman"/>
        </w:rPr>
        <w:t xml:space="preserve">. </w:t>
      </w:r>
      <w:r w:rsidR="00ED0C44" w:rsidRPr="0030135C">
        <w:rPr>
          <w:rFonts w:eastAsia="Times New Roman"/>
        </w:rPr>
        <w:t>Entre todas</w:t>
      </w:r>
      <w:r w:rsidR="00174F7E">
        <w:rPr>
          <w:rFonts w:eastAsia="Times New Roman"/>
        </w:rPr>
        <w:t>, por exclusión</w:t>
      </w:r>
      <w:r w:rsidR="00ED0C44" w:rsidRPr="0030135C">
        <w:rPr>
          <w:rFonts w:eastAsia="Times New Roman"/>
        </w:rPr>
        <w:t xml:space="preserve"> </w:t>
      </w:r>
      <w:r w:rsidR="000C43E0" w:rsidRPr="0030135C">
        <w:rPr>
          <w:rFonts w:eastAsia="Times New Roman"/>
        </w:rPr>
        <w:t xml:space="preserve">podría tratarse de la </w:t>
      </w:r>
      <w:r w:rsidR="003B1773" w:rsidRPr="0030135C">
        <w:rPr>
          <w:rFonts w:eastAsia="Times New Roman"/>
        </w:rPr>
        <w:t xml:space="preserve">versión </w:t>
      </w:r>
      <w:r w:rsidR="0035347C" w:rsidRPr="0030135C">
        <w:rPr>
          <w:rFonts w:eastAsia="Times New Roman"/>
        </w:rPr>
        <w:t>del duque de Wellington que se conserva en Apsley House</w:t>
      </w:r>
      <w:r w:rsidR="000C43E0" w:rsidRPr="0030135C">
        <w:rPr>
          <w:rFonts w:eastAsia="Times New Roman"/>
        </w:rPr>
        <w:t xml:space="preserve">, cuya procedencia </w:t>
      </w:r>
      <w:r w:rsidR="00ED0C44" w:rsidRPr="0030135C">
        <w:rPr>
          <w:rFonts w:eastAsia="Times New Roman"/>
        </w:rPr>
        <w:t xml:space="preserve">conocida </w:t>
      </w:r>
      <w:r w:rsidR="00833511" w:rsidRPr="0030135C">
        <w:t>no se remon</w:t>
      </w:r>
      <w:r w:rsidR="000C43E0" w:rsidRPr="0030135C">
        <w:t>t</w:t>
      </w:r>
      <w:r w:rsidR="00B725CC">
        <w:t>a má</w:t>
      </w:r>
      <w:r w:rsidR="000C43E0" w:rsidRPr="0030135C">
        <w:t>s allá de 168</w:t>
      </w:r>
      <w:r w:rsidR="00833511" w:rsidRPr="0030135C">
        <w:t>6, cuando se registra en el Alcá</w:t>
      </w:r>
      <w:r w:rsidR="000C43E0" w:rsidRPr="0030135C">
        <w:t xml:space="preserve">zar de Madrid, en las bóvedas de Ticiano </w:t>
      </w:r>
      <w:r w:rsidR="00DD3DA2" w:rsidRPr="00B725CC">
        <w:t>(</w:t>
      </w:r>
      <w:r w:rsidR="00ED4920" w:rsidRPr="00B725CC">
        <w:t>fig. 22</w:t>
      </w:r>
      <w:r w:rsidR="00DD3DA2" w:rsidRPr="00B725CC">
        <w:t>)</w:t>
      </w:r>
      <w:r w:rsidR="0035347C" w:rsidRPr="00B725CC">
        <w:rPr>
          <w:rStyle w:val="Marquenotebasdepage"/>
          <w:rFonts w:eastAsia="Times New Roman"/>
        </w:rPr>
        <w:footnoteReference w:id="116"/>
      </w:r>
      <w:r w:rsidR="003B1773" w:rsidRPr="00B725CC">
        <w:rPr>
          <w:rFonts w:eastAsia="Times New Roman"/>
        </w:rPr>
        <w:t>.</w:t>
      </w:r>
      <w:r w:rsidR="003B1773" w:rsidRPr="0030135C">
        <w:rPr>
          <w:rFonts w:eastAsia="Times New Roman"/>
        </w:rPr>
        <w:t xml:space="preserve"> </w:t>
      </w:r>
      <w:r w:rsidR="00DD3DA2" w:rsidRPr="0030135C">
        <w:rPr>
          <w:rFonts w:eastAsia="Times New Roman"/>
        </w:rPr>
        <w:t xml:space="preserve">Allí la </w:t>
      </w:r>
      <w:r w:rsidR="00CC0DCF" w:rsidRPr="0030135C">
        <w:rPr>
          <w:rFonts w:eastAsia="Times New Roman"/>
        </w:rPr>
        <w:t xml:space="preserve">santa aparece en penitencia y elevándose, por lo que podría corresponder a la pintura descrita en el testamento. </w:t>
      </w:r>
    </w:p>
    <w:p w14:paraId="6BCDE155" w14:textId="108665BE" w:rsidR="002B5A5E" w:rsidRDefault="002E49E3" w:rsidP="0030135C">
      <w:pPr>
        <w:spacing w:line="360" w:lineRule="auto"/>
        <w:jc w:val="both"/>
        <w:rPr>
          <w:rFonts w:eastAsia="Times New Roman"/>
        </w:rPr>
      </w:pPr>
      <w:r w:rsidRPr="0030135C">
        <w:rPr>
          <w:rFonts w:eastAsia="Times New Roman"/>
        </w:rPr>
        <w:t>En cualquier caso</w:t>
      </w:r>
      <w:r w:rsidR="00F27581" w:rsidRPr="0030135C">
        <w:rPr>
          <w:rFonts w:eastAsia="Times New Roman"/>
        </w:rPr>
        <w:t>, el hecho de le</w:t>
      </w:r>
      <w:r w:rsidR="00E853C2" w:rsidRPr="0030135C">
        <w:rPr>
          <w:rFonts w:eastAsia="Times New Roman"/>
        </w:rPr>
        <w:t xml:space="preserve">gar </w:t>
      </w:r>
      <w:r w:rsidR="002B588E" w:rsidRPr="0030135C">
        <w:rPr>
          <w:rFonts w:eastAsia="Times New Roman"/>
        </w:rPr>
        <w:t xml:space="preserve">un cuadro </w:t>
      </w:r>
      <w:r w:rsidR="00E853C2" w:rsidRPr="0030135C">
        <w:rPr>
          <w:rFonts w:eastAsia="Times New Roman"/>
        </w:rPr>
        <w:t>al Rey</w:t>
      </w:r>
      <w:r w:rsidR="002B588E" w:rsidRPr="0030135C">
        <w:rPr>
          <w:rFonts w:eastAsia="Times New Roman"/>
        </w:rPr>
        <w:t xml:space="preserve"> como el</w:t>
      </w:r>
      <w:r w:rsidR="00E853C2" w:rsidRPr="0030135C">
        <w:rPr>
          <w:rFonts w:eastAsia="Times New Roman"/>
        </w:rPr>
        <w:t xml:space="preserve"> objeto más </w:t>
      </w:r>
      <w:r w:rsidR="002B588E" w:rsidRPr="0030135C">
        <w:rPr>
          <w:rFonts w:eastAsia="Times New Roman"/>
        </w:rPr>
        <w:t>preciado</w:t>
      </w:r>
      <w:r w:rsidR="00E853C2" w:rsidRPr="0030135C">
        <w:rPr>
          <w:rFonts w:eastAsia="Times New Roman"/>
        </w:rPr>
        <w:t xml:space="preserve"> </w:t>
      </w:r>
      <w:r w:rsidR="00DD3DA2" w:rsidRPr="0030135C">
        <w:rPr>
          <w:rFonts w:eastAsia="Times New Roman"/>
        </w:rPr>
        <w:t>revela</w:t>
      </w:r>
      <w:r w:rsidR="002B588E" w:rsidRPr="0030135C">
        <w:rPr>
          <w:rFonts w:eastAsia="Times New Roman"/>
        </w:rPr>
        <w:t xml:space="preserve"> que</w:t>
      </w:r>
      <w:r w:rsidR="00E853C2" w:rsidRPr="0030135C">
        <w:rPr>
          <w:rFonts w:eastAsia="Times New Roman"/>
        </w:rPr>
        <w:t xml:space="preserve"> </w:t>
      </w:r>
      <w:r w:rsidR="00ED0C44" w:rsidRPr="0030135C">
        <w:rPr>
          <w:rFonts w:eastAsia="Times New Roman"/>
        </w:rPr>
        <w:t>la</w:t>
      </w:r>
      <w:r w:rsidR="00E853C2" w:rsidRPr="0030135C">
        <w:rPr>
          <w:rFonts w:eastAsia="Times New Roman"/>
        </w:rPr>
        <w:t xml:space="preserve"> </w:t>
      </w:r>
      <w:r w:rsidR="00ED0C44" w:rsidRPr="0030135C">
        <w:rPr>
          <w:rFonts w:eastAsia="Times New Roman"/>
        </w:rPr>
        <w:t>estimación de Alburquerque por la pintura</w:t>
      </w:r>
      <w:r w:rsidR="00E853C2" w:rsidRPr="0030135C">
        <w:rPr>
          <w:rFonts w:eastAsia="Times New Roman"/>
        </w:rPr>
        <w:t xml:space="preserve"> pervivió hasta el final</w:t>
      </w:r>
      <w:r w:rsidR="002B588E" w:rsidRPr="0030135C">
        <w:rPr>
          <w:rFonts w:eastAsia="Times New Roman"/>
        </w:rPr>
        <w:t xml:space="preserve"> </w:t>
      </w:r>
      <w:r w:rsidR="00E853C2" w:rsidRPr="0030135C">
        <w:rPr>
          <w:rFonts w:eastAsia="Times New Roman"/>
        </w:rPr>
        <w:t xml:space="preserve">de sus </w:t>
      </w:r>
      <w:r w:rsidR="002B588E" w:rsidRPr="0030135C">
        <w:rPr>
          <w:rFonts w:eastAsia="Times New Roman"/>
        </w:rPr>
        <w:t>días</w:t>
      </w:r>
      <w:r w:rsidR="00ED0C44" w:rsidRPr="0030135C">
        <w:rPr>
          <w:rFonts w:eastAsia="Times New Roman"/>
        </w:rPr>
        <w:t xml:space="preserve">. </w:t>
      </w:r>
      <w:r w:rsidR="005214FF" w:rsidRPr="0030135C">
        <w:rPr>
          <w:rFonts w:eastAsia="Times New Roman"/>
        </w:rPr>
        <w:t>En sus años de juventud acudió</w:t>
      </w:r>
      <w:r w:rsidR="002103D1" w:rsidRPr="0030135C">
        <w:rPr>
          <w:rFonts w:eastAsia="Times New Roman"/>
        </w:rPr>
        <w:t xml:space="preserve"> a los Wautier</w:t>
      </w:r>
      <w:r w:rsidR="00174F7E">
        <w:rPr>
          <w:rFonts w:eastAsia="Times New Roman"/>
        </w:rPr>
        <w:t xml:space="preserve"> con idea de fijar su imagen</w:t>
      </w:r>
      <w:r w:rsidR="00F27581" w:rsidRPr="0030135C">
        <w:rPr>
          <w:rFonts w:eastAsia="Times New Roman"/>
        </w:rPr>
        <w:t xml:space="preserve">. </w:t>
      </w:r>
      <w:r w:rsidR="002B588E" w:rsidRPr="0030135C">
        <w:rPr>
          <w:rFonts w:eastAsia="Times New Roman"/>
        </w:rPr>
        <w:t>El retrato d</w:t>
      </w:r>
      <w:r w:rsidR="002103D1" w:rsidRPr="0030135C">
        <w:rPr>
          <w:rFonts w:eastAsia="Times New Roman"/>
        </w:rPr>
        <w:t xml:space="preserve">el joven </w:t>
      </w:r>
      <w:r w:rsidR="007100D8" w:rsidRPr="0030135C">
        <w:rPr>
          <w:rFonts w:eastAsia="Times New Roman"/>
        </w:rPr>
        <w:t>Alburquerque pone en valor</w:t>
      </w:r>
      <w:r w:rsidR="00237C38" w:rsidRPr="0030135C">
        <w:rPr>
          <w:rFonts w:eastAsia="Times New Roman"/>
        </w:rPr>
        <w:t xml:space="preserve"> </w:t>
      </w:r>
      <w:r w:rsidR="00174F7E">
        <w:rPr>
          <w:rFonts w:eastAsia="Times New Roman"/>
        </w:rPr>
        <w:t>su condición militar</w:t>
      </w:r>
      <w:r w:rsidR="007100D8" w:rsidRPr="0030135C">
        <w:rPr>
          <w:rFonts w:eastAsia="Times New Roman"/>
        </w:rPr>
        <w:t xml:space="preserve">, </w:t>
      </w:r>
      <w:r w:rsidR="00F27581" w:rsidRPr="0030135C">
        <w:rPr>
          <w:rFonts w:eastAsia="Times New Roman"/>
        </w:rPr>
        <w:t>llevando</w:t>
      </w:r>
      <w:r w:rsidR="007100D8" w:rsidRPr="0030135C">
        <w:rPr>
          <w:rFonts w:eastAsia="Times New Roman"/>
        </w:rPr>
        <w:t xml:space="preserve"> </w:t>
      </w:r>
      <w:r w:rsidR="00237C38" w:rsidRPr="0030135C">
        <w:rPr>
          <w:rFonts w:eastAsia="Times New Roman"/>
        </w:rPr>
        <w:t>armadura</w:t>
      </w:r>
      <w:r w:rsidR="00F27581" w:rsidRPr="0030135C">
        <w:rPr>
          <w:rFonts w:eastAsia="Times New Roman"/>
        </w:rPr>
        <w:t>, banda carmesí</w:t>
      </w:r>
      <w:r w:rsidRPr="0030135C">
        <w:rPr>
          <w:rFonts w:eastAsia="Times New Roman"/>
        </w:rPr>
        <w:t xml:space="preserve"> y</w:t>
      </w:r>
      <w:r w:rsidR="007100D8" w:rsidRPr="0030135C">
        <w:rPr>
          <w:rFonts w:eastAsia="Times New Roman"/>
        </w:rPr>
        <w:t xml:space="preserve"> </w:t>
      </w:r>
      <w:r w:rsidR="00237C38" w:rsidRPr="0030135C">
        <w:rPr>
          <w:rFonts w:eastAsia="Times New Roman"/>
        </w:rPr>
        <w:t xml:space="preserve">bastón de mando, </w:t>
      </w:r>
      <w:r w:rsidR="007100D8" w:rsidRPr="0030135C">
        <w:rPr>
          <w:rFonts w:eastAsia="Times New Roman"/>
        </w:rPr>
        <w:t xml:space="preserve">según un esquema tradicional. </w:t>
      </w:r>
      <w:r w:rsidR="001F3725" w:rsidRPr="0030135C">
        <w:rPr>
          <w:rFonts w:eastAsia="Times New Roman"/>
        </w:rPr>
        <w:t xml:space="preserve">Quizá el sombrero </w:t>
      </w:r>
      <w:r w:rsidR="006D1EB8" w:rsidRPr="0030135C">
        <w:rPr>
          <w:rFonts w:eastAsia="Times New Roman"/>
        </w:rPr>
        <w:t xml:space="preserve">negro </w:t>
      </w:r>
      <w:r w:rsidR="001F3725" w:rsidRPr="0030135C">
        <w:rPr>
          <w:rFonts w:eastAsia="Times New Roman"/>
        </w:rPr>
        <w:t xml:space="preserve">con el que aparece aquí y en el </w:t>
      </w:r>
      <w:r w:rsidR="001F3725" w:rsidRPr="0030135C">
        <w:rPr>
          <w:rFonts w:eastAsia="Times New Roman"/>
          <w:i/>
        </w:rPr>
        <w:t>Sitio de Barcelona</w:t>
      </w:r>
      <w:r w:rsidR="001F3725" w:rsidRPr="0030135C">
        <w:rPr>
          <w:rFonts w:eastAsia="Times New Roman"/>
        </w:rPr>
        <w:t xml:space="preserve"> </w:t>
      </w:r>
      <w:r w:rsidR="001F3725" w:rsidRPr="00B725CC">
        <w:rPr>
          <w:rFonts w:eastAsia="Times New Roman"/>
        </w:rPr>
        <w:t>(</w:t>
      </w:r>
      <w:r w:rsidR="00B725CC">
        <w:rPr>
          <w:rFonts w:eastAsia="Times New Roman"/>
        </w:rPr>
        <w:t>f</w:t>
      </w:r>
      <w:r w:rsidR="00EB0190" w:rsidRPr="00B725CC">
        <w:rPr>
          <w:rFonts w:eastAsia="Times New Roman"/>
        </w:rPr>
        <w:t>ig. 20</w:t>
      </w:r>
      <w:r w:rsidR="001F3725" w:rsidRPr="00B725CC">
        <w:rPr>
          <w:rFonts w:eastAsia="Times New Roman"/>
        </w:rPr>
        <w:t>)</w:t>
      </w:r>
      <w:r w:rsidR="001F3725" w:rsidRPr="0030135C">
        <w:rPr>
          <w:rFonts w:eastAsia="Times New Roman"/>
        </w:rPr>
        <w:t xml:space="preserve"> fuera un rasgo personal, y la razón del apodo de “petit chapeau” que dieron los franceses a su Tercio. </w:t>
      </w:r>
      <w:r w:rsidR="00981B40" w:rsidRPr="0030135C">
        <w:rPr>
          <w:rFonts w:eastAsia="Times New Roman"/>
        </w:rPr>
        <w:t xml:space="preserve">Nos preguntamos si las victorias obtenidas en 1641 y 1642 habrían motivado el retrato, </w:t>
      </w:r>
      <w:r w:rsidR="008E664F" w:rsidRPr="0030135C">
        <w:rPr>
          <w:rFonts w:eastAsia="Times New Roman"/>
        </w:rPr>
        <w:t>aunque parece má</w:t>
      </w:r>
      <w:r w:rsidR="009D1714" w:rsidRPr="0030135C">
        <w:rPr>
          <w:rFonts w:eastAsia="Times New Roman"/>
        </w:rPr>
        <w:t xml:space="preserve">s probable que fuera </w:t>
      </w:r>
      <w:r w:rsidR="00F27581" w:rsidRPr="0030135C">
        <w:rPr>
          <w:rFonts w:eastAsia="Times New Roman"/>
        </w:rPr>
        <w:t>su</w:t>
      </w:r>
      <w:r w:rsidR="00237C38" w:rsidRPr="0030135C">
        <w:rPr>
          <w:rFonts w:eastAsia="Times New Roman"/>
        </w:rPr>
        <w:t xml:space="preserve"> </w:t>
      </w:r>
      <w:r w:rsidR="00505C7A" w:rsidRPr="0030135C">
        <w:rPr>
          <w:rFonts w:eastAsia="Times New Roman"/>
        </w:rPr>
        <w:t xml:space="preserve">designación como General de </w:t>
      </w:r>
      <w:r w:rsidR="00CC0DCF" w:rsidRPr="0030135C">
        <w:rPr>
          <w:rFonts w:eastAsia="Times New Roman"/>
        </w:rPr>
        <w:t xml:space="preserve">la caballería de Flandes </w:t>
      </w:r>
      <w:r w:rsidR="00505C7A" w:rsidRPr="0030135C">
        <w:rPr>
          <w:rFonts w:eastAsia="Times New Roman"/>
        </w:rPr>
        <w:t>el 15 de abril</w:t>
      </w:r>
      <w:r w:rsidRPr="0030135C">
        <w:rPr>
          <w:rFonts w:eastAsia="Times New Roman"/>
        </w:rPr>
        <w:t xml:space="preserve"> de 1643 —</w:t>
      </w:r>
      <w:r w:rsidR="00F27581" w:rsidRPr="0030135C">
        <w:rPr>
          <w:rFonts w:eastAsia="Times New Roman"/>
        </w:rPr>
        <w:t xml:space="preserve">en cuyo caso se habría ejecutado entre </w:t>
      </w:r>
      <w:r w:rsidR="00505C7A" w:rsidRPr="0030135C">
        <w:rPr>
          <w:rFonts w:eastAsia="Times New Roman"/>
        </w:rPr>
        <w:t xml:space="preserve">la </w:t>
      </w:r>
      <w:r w:rsidR="00F27581" w:rsidRPr="0030135C">
        <w:rPr>
          <w:rFonts w:eastAsia="Times New Roman"/>
        </w:rPr>
        <w:t xml:space="preserve">derrota de </w:t>
      </w:r>
      <w:r w:rsidR="00237C38" w:rsidRPr="0030135C">
        <w:rPr>
          <w:rFonts w:eastAsia="Times New Roman"/>
        </w:rPr>
        <w:t>Rocr</w:t>
      </w:r>
      <w:r w:rsidR="007100D8" w:rsidRPr="0030135C">
        <w:rPr>
          <w:rFonts w:eastAsia="Times New Roman"/>
        </w:rPr>
        <w:t>oi</w:t>
      </w:r>
      <w:r w:rsidR="00505C7A" w:rsidRPr="0030135C">
        <w:rPr>
          <w:rFonts w:eastAsia="Times New Roman"/>
        </w:rPr>
        <w:t xml:space="preserve"> en mayo</w:t>
      </w:r>
      <w:r w:rsidR="00981B40" w:rsidRPr="0030135C">
        <w:rPr>
          <w:rFonts w:eastAsia="Times New Roman"/>
        </w:rPr>
        <w:t xml:space="preserve"> y su partida </w:t>
      </w:r>
      <w:r w:rsidR="005214FF" w:rsidRPr="0030135C">
        <w:rPr>
          <w:rFonts w:eastAsia="Times New Roman"/>
        </w:rPr>
        <w:t xml:space="preserve">a </w:t>
      </w:r>
      <w:r w:rsidR="00981B40" w:rsidRPr="0030135C">
        <w:rPr>
          <w:rFonts w:eastAsia="Times New Roman"/>
        </w:rPr>
        <w:t>España a principios de diciembre</w:t>
      </w:r>
      <w:r w:rsidR="00505C7A" w:rsidRPr="0030135C">
        <w:rPr>
          <w:rFonts w:eastAsia="Times New Roman"/>
        </w:rPr>
        <w:t xml:space="preserve">. </w:t>
      </w:r>
      <w:r w:rsidR="00407961">
        <w:rPr>
          <w:rFonts w:eastAsia="Times New Roman"/>
        </w:rPr>
        <w:t>Sabemos</w:t>
      </w:r>
      <w:r w:rsidR="001D114C">
        <w:rPr>
          <w:rFonts w:eastAsia="Times New Roman"/>
        </w:rPr>
        <w:t xml:space="preserve"> que </w:t>
      </w:r>
      <w:r w:rsidR="00950505">
        <w:rPr>
          <w:rFonts w:eastAsia="Times New Roman"/>
        </w:rPr>
        <w:t>después de la derrota</w:t>
      </w:r>
      <w:r w:rsidR="00F9577B">
        <w:rPr>
          <w:rFonts w:eastAsia="Times New Roman"/>
        </w:rPr>
        <w:t xml:space="preserve"> Melo y sus tropas se atrincher</w:t>
      </w:r>
      <w:r w:rsidR="00950505">
        <w:rPr>
          <w:rFonts w:eastAsia="Times New Roman"/>
        </w:rPr>
        <w:t>aron en Mons</w:t>
      </w:r>
      <w:r w:rsidR="00B0104A">
        <w:rPr>
          <w:rFonts w:eastAsia="Times New Roman"/>
        </w:rPr>
        <w:t xml:space="preserve"> junto a Bucquoy</w:t>
      </w:r>
      <w:r w:rsidR="00950505">
        <w:rPr>
          <w:rStyle w:val="Marquenotebasdepage"/>
          <w:rFonts w:eastAsia="Times New Roman"/>
        </w:rPr>
        <w:footnoteReference w:id="117"/>
      </w:r>
      <w:r w:rsidR="00950505">
        <w:rPr>
          <w:rFonts w:eastAsia="Times New Roman"/>
        </w:rPr>
        <w:t>, y que allí estaba Albur</w:t>
      </w:r>
      <w:r w:rsidR="00B0104A">
        <w:rPr>
          <w:rFonts w:eastAsia="Times New Roman"/>
        </w:rPr>
        <w:t xml:space="preserve">querque al menos hasta el 15 </w:t>
      </w:r>
      <w:r w:rsidR="00950505">
        <w:rPr>
          <w:rFonts w:eastAsia="Times New Roman"/>
        </w:rPr>
        <w:t xml:space="preserve">de julio, </w:t>
      </w:r>
      <w:r w:rsidR="002B5A5E">
        <w:rPr>
          <w:rFonts w:eastAsia="Times New Roman"/>
        </w:rPr>
        <w:t>cua</w:t>
      </w:r>
      <w:r w:rsidR="00950505">
        <w:rPr>
          <w:rFonts w:eastAsia="Times New Roman"/>
        </w:rPr>
        <w:t>ndo</w:t>
      </w:r>
      <w:r w:rsidR="00407961">
        <w:rPr>
          <w:rFonts w:eastAsia="Times New Roman"/>
        </w:rPr>
        <w:t xml:space="preserve"> escribe su carta</w:t>
      </w:r>
      <w:r w:rsidR="001D114C">
        <w:rPr>
          <w:rFonts w:eastAsia="Times New Roman"/>
        </w:rPr>
        <w:t xml:space="preserve"> a Olivares</w:t>
      </w:r>
      <w:r w:rsidR="002B5A5E">
        <w:rPr>
          <w:rFonts w:eastAsia="Times New Roman"/>
        </w:rPr>
        <w:t xml:space="preserve"> antes</w:t>
      </w:r>
      <w:r w:rsidR="00B0104A">
        <w:rPr>
          <w:rFonts w:eastAsia="Times New Roman"/>
        </w:rPr>
        <w:t xml:space="preserve"> de partir a Thionville al día siguiente</w:t>
      </w:r>
      <w:r w:rsidR="002B5A5E">
        <w:rPr>
          <w:rStyle w:val="Marquenotebasdepage"/>
          <w:rFonts w:eastAsia="Times New Roman"/>
        </w:rPr>
        <w:footnoteReference w:id="118"/>
      </w:r>
      <w:r w:rsidR="001D114C">
        <w:rPr>
          <w:rFonts w:eastAsia="Times New Roman"/>
        </w:rPr>
        <w:t xml:space="preserve">. </w:t>
      </w:r>
      <w:r w:rsidR="00F9577B">
        <w:rPr>
          <w:rFonts w:eastAsia="Times New Roman"/>
        </w:rPr>
        <w:t>Por consiguiente cabe preguntarse</w:t>
      </w:r>
      <w:r w:rsidR="002B5A5E">
        <w:rPr>
          <w:rFonts w:eastAsia="Times New Roman"/>
        </w:rPr>
        <w:t xml:space="preserve"> si el retrato pudo hacerse </w:t>
      </w:r>
      <w:r w:rsidR="00407961">
        <w:rPr>
          <w:rFonts w:eastAsia="Times New Roman"/>
        </w:rPr>
        <w:t xml:space="preserve">en Mons, ciudad de donde procede la familia Wautier. </w:t>
      </w:r>
      <w:r w:rsidR="00F9577B">
        <w:rPr>
          <w:rFonts w:eastAsia="Times New Roman"/>
        </w:rPr>
        <w:t xml:space="preserve">Y aunque no </w:t>
      </w:r>
      <w:r w:rsidR="00C745BD">
        <w:rPr>
          <w:rFonts w:eastAsia="Times New Roman"/>
        </w:rPr>
        <w:t xml:space="preserve">se sabe donde estaba Michaelina </w:t>
      </w:r>
      <w:r w:rsidR="00F9577B">
        <w:rPr>
          <w:rFonts w:eastAsia="Times New Roman"/>
        </w:rPr>
        <w:t>Wautier en estos momentos, es de suponer que –igual que Charles- no estuviera en</w:t>
      </w:r>
      <w:r w:rsidR="009F39BD">
        <w:rPr>
          <w:rFonts w:eastAsia="Times New Roman"/>
        </w:rPr>
        <w:t xml:space="preserve"> Bruselas, donde </w:t>
      </w:r>
      <w:r w:rsidR="00763E69">
        <w:rPr>
          <w:rFonts w:eastAsia="Times New Roman"/>
        </w:rPr>
        <w:t>se le había</w:t>
      </w:r>
      <w:r w:rsidR="00F9577B">
        <w:rPr>
          <w:rFonts w:eastAsia="Times New Roman"/>
        </w:rPr>
        <w:t xml:space="preserve"> prohibido ejercer la profesión de pintor desde </w:t>
      </w:r>
      <w:r w:rsidR="00B0104A">
        <w:rPr>
          <w:rFonts w:eastAsia="Times New Roman"/>
        </w:rPr>
        <w:t>16 de Mayo de 1643</w:t>
      </w:r>
      <w:r w:rsidR="00F9577B">
        <w:rPr>
          <w:rFonts w:eastAsia="Times New Roman"/>
        </w:rPr>
        <w:t xml:space="preserve"> -según confirma una documento-</w:t>
      </w:r>
      <w:r w:rsidR="00B0104A">
        <w:rPr>
          <w:rFonts w:eastAsia="Times New Roman"/>
        </w:rPr>
        <w:t xml:space="preserve"> hasta no inscribirse en</w:t>
      </w:r>
      <w:r w:rsidR="00F9577B">
        <w:rPr>
          <w:rFonts w:eastAsia="Times New Roman"/>
        </w:rPr>
        <w:t xml:space="preserve"> la guilda, lo que hizo en</w:t>
      </w:r>
      <w:r w:rsidR="00B0104A">
        <w:rPr>
          <w:rFonts w:eastAsia="Times New Roman"/>
        </w:rPr>
        <w:t xml:space="preserve"> 1651</w:t>
      </w:r>
      <w:r w:rsidR="00650C6F">
        <w:rPr>
          <w:rStyle w:val="Marquenotebasdepage"/>
          <w:rFonts w:eastAsia="Times New Roman"/>
        </w:rPr>
        <w:footnoteReference w:id="119"/>
      </w:r>
      <w:r w:rsidR="00B0104A">
        <w:rPr>
          <w:rFonts w:eastAsia="Times New Roman"/>
        </w:rPr>
        <w:t xml:space="preserve">. </w:t>
      </w:r>
      <w:r w:rsidR="00AE5039">
        <w:rPr>
          <w:rFonts w:eastAsia="Times New Roman"/>
        </w:rPr>
        <w:t>Si bien se ha especulado sobre un posible viaje a Italia durante estas fechas</w:t>
      </w:r>
      <w:r w:rsidR="00491A36">
        <w:rPr>
          <w:rStyle w:val="Marquenotebasdepage"/>
          <w:rFonts w:eastAsia="Times New Roman"/>
        </w:rPr>
        <w:footnoteReference w:id="120"/>
      </w:r>
      <w:r w:rsidR="00AE5039">
        <w:rPr>
          <w:rFonts w:eastAsia="Times New Roman"/>
        </w:rPr>
        <w:t xml:space="preserve">, cabe la posibilidad de que los Wautier </w:t>
      </w:r>
      <w:r w:rsidR="00C745BD">
        <w:rPr>
          <w:rFonts w:eastAsia="Times New Roman"/>
        </w:rPr>
        <w:t>volvieran a Mons y coincidieran allí con Alburquerque.</w:t>
      </w:r>
    </w:p>
    <w:p w14:paraId="06868ECE" w14:textId="2378E046" w:rsidR="008E664F" w:rsidRPr="0030135C" w:rsidRDefault="009F39BD" w:rsidP="0030135C">
      <w:pPr>
        <w:spacing w:line="360" w:lineRule="auto"/>
        <w:jc w:val="both"/>
        <w:rPr>
          <w:rFonts w:eastAsia="Times New Roman"/>
        </w:rPr>
      </w:pPr>
      <w:r>
        <w:rPr>
          <w:rFonts w:eastAsia="Times New Roman"/>
        </w:rPr>
        <w:t xml:space="preserve">Probablemente guiado por </w:t>
      </w:r>
      <w:r w:rsidRPr="0030135C">
        <w:rPr>
          <w:rFonts w:eastAsia="Times New Roman"/>
        </w:rPr>
        <w:t>un deseo de legitimar su imagen y su poder</w:t>
      </w:r>
      <w:r>
        <w:rPr>
          <w:rFonts w:eastAsia="Times New Roman"/>
        </w:rPr>
        <w:t>, Alburquerque fue retratado</w:t>
      </w:r>
      <w:r w:rsidR="00C745BD">
        <w:rPr>
          <w:rFonts w:eastAsia="Times New Roman"/>
        </w:rPr>
        <w:t xml:space="preserve"> </w:t>
      </w:r>
      <w:r w:rsidR="005C5405" w:rsidRPr="0030135C">
        <w:rPr>
          <w:rFonts w:eastAsia="Times New Roman"/>
        </w:rPr>
        <w:t>con los atributos de los más altos rangos militares</w:t>
      </w:r>
      <w:r w:rsidR="005C5405" w:rsidRPr="0030135C">
        <w:rPr>
          <w:rStyle w:val="Marquenotebasdepage"/>
          <w:rFonts w:eastAsia="Times New Roman"/>
        </w:rPr>
        <w:footnoteReference w:id="121"/>
      </w:r>
      <w:r w:rsidR="005C5405" w:rsidRPr="0030135C">
        <w:rPr>
          <w:rFonts w:eastAsia="Times New Roman"/>
        </w:rPr>
        <w:t xml:space="preserve">. </w:t>
      </w:r>
      <w:r w:rsidR="00174F7E">
        <w:rPr>
          <w:rFonts w:eastAsia="Times New Roman"/>
        </w:rPr>
        <w:t>L</w:t>
      </w:r>
      <w:r w:rsidR="00174F7E" w:rsidRPr="0030135C">
        <w:rPr>
          <w:rFonts w:eastAsia="Times New Roman"/>
        </w:rPr>
        <w:t>os Wautier s</w:t>
      </w:r>
      <w:r>
        <w:rPr>
          <w:rFonts w:eastAsia="Times New Roman"/>
        </w:rPr>
        <w:t>upieron captar algo más, y en su</w:t>
      </w:r>
      <w:r w:rsidR="00174F7E" w:rsidRPr="0030135C">
        <w:rPr>
          <w:rFonts w:eastAsia="Times New Roman"/>
        </w:rPr>
        <w:t xml:space="preserve"> mirada humedecida dejaron vislumbrar un atisbo de su alma</w:t>
      </w:r>
      <w:r w:rsidR="00174F7E">
        <w:rPr>
          <w:rFonts w:eastAsia="Times New Roman"/>
        </w:rPr>
        <w:t>, expresando el peso de los acontecimientos vividos</w:t>
      </w:r>
      <w:r w:rsidR="00174F7E" w:rsidRPr="0030135C">
        <w:rPr>
          <w:rFonts w:eastAsia="Times New Roman"/>
        </w:rPr>
        <w:t xml:space="preserve">. </w:t>
      </w:r>
      <w:r w:rsidR="005C5405" w:rsidRPr="0030135C">
        <w:rPr>
          <w:rFonts w:eastAsia="Times New Roman"/>
        </w:rPr>
        <w:t>Quizá este y</w:t>
      </w:r>
      <w:r w:rsidR="008E4C5C" w:rsidRPr="0030135C">
        <w:rPr>
          <w:rFonts w:eastAsia="Times New Roman"/>
        </w:rPr>
        <w:t xml:space="preserve">o dignificado </w:t>
      </w:r>
      <w:r w:rsidR="00B61514" w:rsidRPr="0030135C">
        <w:rPr>
          <w:rFonts w:eastAsia="Times New Roman"/>
        </w:rPr>
        <w:t xml:space="preserve">le sirviera </w:t>
      </w:r>
      <w:r w:rsidR="008E4C5C" w:rsidRPr="0030135C">
        <w:rPr>
          <w:rFonts w:eastAsia="Times New Roman"/>
        </w:rPr>
        <w:t xml:space="preserve">para </w:t>
      </w:r>
      <w:r w:rsidR="00EC3C4F" w:rsidRPr="0030135C">
        <w:rPr>
          <w:rFonts w:eastAsia="Times New Roman"/>
        </w:rPr>
        <w:t xml:space="preserve">restaurar su “expuesta reputación” y cerrar “la boca de la malicia” </w:t>
      </w:r>
      <w:r w:rsidR="00B61514" w:rsidRPr="0030135C">
        <w:rPr>
          <w:rFonts w:eastAsia="Times New Roman"/>
        </w:rPr>
        <w:t>-males de los que llegó a</w:t>
      </w:r>
      <w:r w:rsidR="008E4C5C" w:rsidRPr="0030135C">
        <w:rPr>
          <w:rFonts w:eastAsia="Times New Roman"/>
        </w:rPr>
        <w:t xml:space="preserve"> quejarse al Rey</w:t>
      </w:r>
      <w:r w:rsidR="00B61514" w:rsidRPr="0030135C">
        <w:rPr>
          <w:rStyle w:val="Marquenotebasdepage"/>
          <w:rFonts w:eastAsia="Times New Roman"/>
        </w:rPr>
        <w:footnoteReference w:id="122"/>
      </w:r>
      <w:r w:rsidR="009F1F3E" w:rsidRPr="0030135C">
        <w:rPr>
          <w:rFonts w:eastAsia="Times New Roman"/>
        </w:rPr>
        <w:t xml:space="preserve">. </w:t>
      </w:r>
      <w:r w:rsidR="008443BB" w:rsidRPr="0030135C">
        <w:rPr>
          <w:rFonts w:eastAsia="Times New Roman"/>
        </w:rPr>
        <w:t>Sin duda</w:t>
      </w:r>
      <w:r w:rsidR="00F27581" w:rsidRPr="0030135C">
        <w:rPr>
          <w:rFonts w:eastAsia="Times New Roman"/>
        </w:rPr>
        <w:t xml:space="preserve"> </w:t>
      </w:r>
      <w:r w:rsidR="00C32C14" w:rsidRPr="0030135C">
        <w:rPr>
          <w:rFonts w:eastAsia="Times New Roman"/>
        </w:rPr>
        <w:t xml:space="preserve">llevaría </w:t>
      </w:r>
      <w:r w:rsidR="00F27581" w:rsidRPr="0030135C">
        <w:rPr>
          <w:rFonts w:eastAsia="Times New Roman"/>
        </w:rPr>
        <w:t xml:space="preserve">el retrato </w:t>
      </w:r>
      <w:r w:rsidR="00C32C14" w:rsidRPr="0030135C">
        <w:rPr>
          <w:rFonts w:eastAsia="Times New Roman"/>
        </w:rPr>
        <w:t xml:space="preserve">consigo a su vuelta a </w:t>
      </w:r>
      <w:r w:rsidR="00C26FFB" w:rsidRPr="0030135C">
        <w:rPr>
          <w:rFonts w:eastAsia="Times New Roman"/>
        </w:rPr>
        <w:t>España</w:t>
      </w:r>
      <w:r w:rsidR="00C32C14" w:rsidRPr="0030135C">
        <w:rPr>
          <w:rFonts w:eastAsia="Times New Roman"/>
        </w:rPr>
        <w:t xml:space="preserve">; y </w:t>
      </w:r>
      <w:r w:rsidR="00C26FFB" w:rsidRPr="0030135C">
        <w:rPr>
          <w:rFonts w:eastAsia="Times New Roman"/>
        </w:rPr>
        <w:t>también a México</w:t>
      </w:r>
      <w:r w:rsidR="002103D1" w:rsidRPr="0030135C">
        <w:rPr>
          <w:rFonts w:eastAsia="Times New Roman"/>
        </w:rPr>
        <w:t xml:space="preserve"> </w:t>
      </w:r>
      <w:r w:rsidR="008443BB" w:rsidRPr="0030135C">
        <w:rPr>
          <w:rFonts w:eastAsia="Times New Roman"/>
        </w:rPr>
        <w:t xml:space="preserve">diez </w:t>
      </w:r>
      <w:r w:rsidR="002103D1" w:rsidRPr="0030135C">
        <w:rPr>
          <w:rFonts w:eastAsia="Times New Roman"/>
        </w:rPr>
        <w:t>añ</w:t>
      </w:r>
      <w:r w:rsidR="00F27581" w:rsidRPr="0030135C">
        <w:rPr>
          <w:rFonts w:eastAsia="Times New Roman"/>
        </w:rPr>
        <w:t>os después</w:t>
      </w:r>
      <w:r w:rsidR="00C26FFB" w:rsidRPr="0030135C">
        <w:rPr>
          <w:rFonts w:eastAsia="Times New Roman"/>
        </w:rPr>
        <w:t xml:space="preserve">. </w:t>
      </w:r>
      <w:r w:rsidR="00F27581" w:rsidRPr="0030135C">
        <w:rPr>
          <w:rFonts w:eastAsia="Times New Roman"/>
        </w:rPr>
        <w:t>Sabemos que</w:t>
      </w:r>
      <w:r w:rsidR="002103D1" w:rsidRPr="0030135C">
        <w:rPr>
          <w:rFonts w:eastAsia="Times New Roman"/>
        </w:rPr>
        <w:t>,</w:t>
      </w:r>
      <w:r w:rsidR="00F27581" w:rsidRPr="0030135C">
        <w:rPr>
          <w:rFonts w:eastAsia="Times New Roman"/>
        </w:rPr>
        <w:t xml:space="preserve"> </w:t>
      </w:r>
      <w:r w:rsidR="002103D1" w:rsidRPr="0030135C">
        <w:rPr>
          <w:rFonts w:eastAsia="Times New Roman"/>
        </w:rPr>
        <w:t xml:space="preserve">aunque tuvo poco </w:t>
      </w:r>
      <w:r w:rsidR="00F27581" w:rsidRPr="0030135C">
        <w:rPr>
          <w:rFonts w:eastAsia="Times New Roman"/>
        </w:rPr>
        <w:t>tiempo para preparar esta</w:t>
      </w:r>
      <w:r w:rsidR="00C26FFB" w:rsidRPr="0030135C">
        <w:rPr>
          <w:rFonts w:eastAsia="Times New Roman"/>
        </w:rPr>
        <w:t xml:space="preserve"> </w:t>
      </w:r>
      <w:r w:rsidR="00F27581" w:rsidRPr="0030135C">
        <w:rPr>
          <w:rFonts w:eastAsia="Times New Roman"/>
        </w:rPr>
        <w:t>mudanza</w:t>
      </w:r>
      <w:r w:rsidR="00C26FFB" w:rsidRPr="0030135C">
        <w:rPr>
          <w:rFonts w:eastAsia="Times New Roman"/>
        </w:rPr>
        <w:t xml:space="preserve">, </w:t>
      </w:r>
      <w:r w:rsidR="002103D1" w:rsidRPr="0030135C">
        <w:rPr>
          <w:rFonts w:eastAsia="Times New Roman"/>
        </w:rPr>
        <w:t xml:space="preserve">se </w:t>
      </w:r>
      <w:r w:rsidR="00105F6F" w:rsidRPr="0030135C">
        <w:rPr>
          <w:rFonts w:eastAsia="Times New Roman"/>
        </w:rPr>
        <w:t>hizo un registro de</w:t>
      </w:r>
      <w:r w:rsidR="00C26FFB" w:rsidRPr="0030135C">
        <w:rPr>
          <w:rFonts w:eastAsia="Times New Roman"/>
        </w:rPr>
        <w:t xml:space="preserve"> las pertenencias que debían quedar almacenadas en Cuéllar</w:t>
      </w:r>
      <w:r w:rsidR="00105F6F" w:rsidRPr="0030135C">
        <w:rPr>
          <w:rStyle w:val="Marquenotebasdepage"/>
          <w:rFonts w:eastAsia="Times New Roman"/>
        </w:rPr>
        <w:footnoteReference w:id="123"/>
      </w:r>
      <w:r w:rsidR="008443BB" w:rsidRPr="0030135C">
        <w:rPr>
          <w:rFonts w:eastAsia="Times New Roman"/>
        </w:rPr>
        <w:t xml:space="preserve">, sin que sepamos nada </w:t>
      </w:r>
      <w:r w:rsidR="00105F6F" w:rsidRPr="0030135C">
        <w:rPr>
          <w:rFonts w:eastAsia="Times New Roman"/>
        </w:rPr>
        <w:t>de</w:t>
      </w:r>
      <w:r w:rsidR="00C26FFB" w:rsidRPr="0030135C">
        <w:rPr>
          <w:rFonts w:eastAsia="Times New Roman"/>
        </w:rPr>
        <w:t xml:space="preserve"> </w:t>
      </w:r>
      <w:r w:rsidR="00105F6F" w:rsidRPr="0030135C">
        <w:rPr>
          <w:rFonts w:eastAsia="Times New Roman"/>
        </w:rPr>
        <w:t xml:space="preserve">las </w:t>
      </w:r>
      <w:r w:rsidR="00F27581" w:rsidRPr="0030135C">
        <w:rPr>
          <w:rFonts w:eastAsia="Times New Roman"/>
        </w:rPr>
        <w:t>que llevaban consigo</w:t>
      </w:r>
      <w:r w:rsidR="002E49E3" w:rsidRPr="0030135C">
        <w:rPr>
          <w:rFonts w:eastAsia="Times New Roman"/>
        </w:rPr>
        <w:t xml:space="preserve"> a México</w:t>
      </w:r>
      <w:r w:rsidR="00105F6F" w:rsidRPr="0030135C">
        <w:rPr>
          <w:rStyle w:val="Marquenotebasdepage"/>
          <w:rFonts w:eastAsia="Times New Roman"/>
        </w:rPr>
        <w:footnoteReference w:id="124"/>
      </w:r>
      <w:r w:rsidR="002103D1" w:rsidRPr="0030135C">
        <w:rPr>
          <w:rFonts w:eastAsia="Times New Roman"/>
        </w:rPr>
        <w:t xml:space="preserve">. </w:t>
      </w:r>
      <w:r w:rsidR="00C327EA" w:rsidRPr="0030135C">
        <w:rPr>
          <w:rFonts w:eastAsia="Times New Roman"/>
        </w:rPr>
        <w:t xml:space="preserve">Quizá llevaría el retrato también a Sicilia; y nos </w:t>
      </w:r>
      <w:r w:rsidR="00C273F4" w:rsidRPr="0030135C">
        <w:rPr>
          <w:rFonts w:eastAsia="Times New Roman"/>
        </w:rPr>
        <w:t xml:space="preserve">preguntamos si </w:t>
      </w:r>
      <w:r w:rsidR="005214FF" w:rsidRPr="0030135C">
        <w:rPr>
          <w:rFonts w:eastAsia="Times New Roman"/>
        </w:rPr>
        <w:t xml:space="preserve">-vuelto a España y muerto el duque- </w:t>
      </w:r>
      <w:r w:rsidR="00C327EA" w:rsidRPr="0030135C">
        <w:rPr>
          <w:rFonts w:eastAsia="Times New Roman"/>
        </w:rPr>
        <w:t xml:space="preserve">la obra </w:t>
      </w:r>
      <w:r w:rsidR="005214FF" w:rsidRPr="0030135C">
        <w:rPr>
          <w:rFonts w:eastAsia="Times New Roman"/>
        </w:rPr>
        <w:t xml:space="preserve">acabaría </w:t>
      </w:r>
      <w:r w:rsidR="00641C3D">
        <w:rPr>
          <w:rFonts w:eastAsia="Times New Roman"/>
        </w:rPr>
        <w:t>entre los numerosos retratos familiares</w:t>
      </w:r>
      <w:r w:rsidR="00C32C14" w:rsidRPr="0030135C">
        <w:rPr>
          <w:rFonts w:eastAsia="Times New Roman"/>
        </w:rPr>
        <w:t xml:space="preserve"> </w:t>
      </w:r>
      <w:r w:rsidR="00CB4977" w:rsidRPr="0030135C">
        <w:rPr>
          <w:rFonts w:eastAsia="Times New Roman"/>
        </w:rPr>
        <w:t xml:space="preserve">sin citar autor </w:t>
      </w:r>
      <w:r w:rsidR="00C32C14" w:rsidRPr="0030135C">
        <w:rPr>
          <w:rFonts w:eastAsia="Times New Roman"/>
        </w:rPr>
        <w:t>que recoge</w:t>
      </w:r>
      <w:r w:rsidR="00CB4977" w:rsidRPr="0030135C">
        <w:rPr>
          <w:rFonts w:eastAsia="Times New Roman"/>
        </w:rPr>
        <w:t xml:space="preserve">n los </w:t>
      </w:r>
      <w:r w:rsidR="00C32C14" w:rsidRPr="0030135C">
        <w:rPr>
          <w:rFonts w:eastAsia="Times New Roman"/>
        </w:rPr>
        <w:t>inventario</w:t>
      </w:r>
      <w:r w:rsidR="00CB4977" w:rsidRPr="0030135C">
        <w:rPr>
          <w:rFonts w:eastAsia="Times New Roman"/>
        </w:rPr>
        <w:t>s de sus herederos</w:t>
      </w:r>
      <w:r w:rsidR="00CC0DCF" w:rsidRPr="0030135C">
        <w:rPr>
          <w:rStyle w:val="Marquenotebasdepage"/>
          <w:rFonts w:eastAsia="Times New Roman"/>
        </w:rPr>
        <w:footnoteReference w:id="125"/>
      </w:r>
      <w:r w:rsidR="00CB4977" w:rsidRPr="0030135C">
        <w:rPr>
          <w:rFonts w:eastAsia="Times New Roman"/>
        </w:rPr>
        <w:t xml:space="preserve">. </w:t>
      </w:r>
      <w:r w:rsidR="002E49E3" w:rsidRPr="0030135C">
        <w:rPr>
          <w:rFonts w:eastAsia="Times New Roman"/>
        </w:rPr>
        <w:t>En cualquier caso,</w:t>
      </w:r>
      <w:r w:rsidR="00CB4977" w:rsidRPr="0030135C">
        <w:rPr>
          <w:rFonts w:eastAsia="Times New Roman"/>
        </w:rPr>
        <w:t xml:space="preserve"> c</w:t>
      </w:r>
      <w:r w:rsidR="008D0FEA" w:rsidRPr="0030135C">
        <w:rPr>
          <w:rFonts w:eastAsia="Times New Roman"/>
        </w:rPr>
        <w:t>on el tiempo</w:t>
      </w:r>
      <w:r w:rsidR="00CB4977" w:rsidRPr="0030135C">
        <w:rPr>
          <w:rFonts w:eastAsia="Times New Roman"/>
        </w:rPr>
        <w:t xml:space="preserve"> y hasta el </w:t>
      </w:r>
      <w:r w:rsidR="005214FF" w:rsidRPr="0030135C">
        <w:rPr>
          <w:rFonts w:eastAsia="Times New Roman"/>
        </w:rPr>
        <w:t>día</w:t>
      </w:r>
      <w:r w:rsidR="00F9577B">
        <w:rPr>
          <w:rFonts w:eastAsia="Times New Roman"/>
        </w:rPr>
        <w:t xml:space="preserve"> de hoy</w:t>
      </w:r>
      <w:r w:rsidR="008D0FEA" w:rsidRPr="0030135C">
        <w:rPr>
          <w:rFonts w:eastAsia="Times New Roman"/>
        </w:rPr>
        <w:t xml:space="preserve"> </w:t>
      </w:r>
      <w:r w:rsidR="005214FF" w:rsidRPr="0030135C">
        <w:rPr>
          <w:rFonts w:eastAsia="Times New Roman"/>
        </w:rPr>
        <w:t xml:space="preserve">había desaparecido </w:t>
      </w:r>
      <w:r w:rsidR="00CB4977" w:rsidRPr="0030135C">
        <w:rPr>
          <w:rFonts w:eastAsia="Times New Roman"/>
        </w:rPr>
        <w:t>su rastro, olvidándose</w:t>
      </w:r>
      <w:r w:rsidR="002E49E3" w:rsidRPr="0030135C">
        <w:rPr>
          <w:rFonts w:eastAsia="Times New Roman"/>
        </w:rPr>
        <w:t xml:space="preserve"> la</w:t>
      </w:r>
      <w:r w:rsidR="008D0FEA" w:rsidRPr="0030135C">
        <w:rPr>
          <w:rFonts w:eastAsia="Times New Roman"/>
        </w:rPr>
        <w:t>s</w:t>
      </w:r>
      <w:r w:rsidR="002E49E3" w:rsidRPr="0030135C">
        <w:rPr>
          <w:rFonts w:eastAsia="Times New Roman"/>
        </w:rPr>
        <w:t xml:space="preserve"> identidad</w:t>
      </w:r>
      <w:r w:rsidR="008D0FEA" w:rsidRPr="0030135C">
        <w:rPr>
          <w:rFonts w:eastAsia="Times New Roman"/>
        </w:rPr>
        <w:t>es</w:t>
      </w:r>
      <w:r w:rsidR="002E49E3" w:rsidRPr="0030135C">
        <w:rPr>
          <w:rFonts w:eastAsia="Times New Roman"/>
        </w:rPr>
        <w:t xml:space="preserve"> </w:t>
      </w:r>
      <w:r>
        <w:rPr>
          <w:rFonts w:eastAsia="Times New Roman"/>
        </w:rPr>
        <w:t>del retratado y del artista que lo inmortalizó</w:t>
      </w:r>
      <w:r w:rsidR="002E49E3" w:rsidRPr="0030135C">
        <w:rPr>
          <w:rFonts w:eastAsia="Times New Roman"/>
        </w:rPr>
        <w:t xml:space="preserve">. </w:t>
      </w:r>
    </w:p>
    <w:p w14:paraId="5FAFB095" w14:textId="77777777" w:rsidR="00210060" w:rsidRPr="0030135C" w:rsidRDefault="00210060" w:rsidP="0030135C">
      <w:pPr>
        <w:spacing w:line="360" w:lineRule="auto"/>
        <w:jc w:val="both"/>
      </w:pPr>
    </w:p>
    <w:sectPr w:rsidR="00210060" w:rsidRPr="0030135C" w:rsidSect="005C61C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3426B" w14:textId="77777777" w:rsidR="00650C6F" w:rsidRDefault="00650C6F" w:rsidP="008A7EAC">
      <w:r>
        <w:separator/>
      </w:r>
    </w:p>
  </w:endnote>
  <w:endnote w:type="continuationSeparator" w:id="0">
    <w:p w14:paraId="229849AF" w14:textId="77777777" w:rsidR="00650C6F" w:rsidRDefault="00650C6F" w:rsidP="008A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62788" w14:textId="77777777" w:rsidR="00650C6F" w:rsidRDefault="00650C6F" w:rsidP="004F663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BAB9314" w14:textId="77777777" w:rsidR="00650C6F" w:rsidRDefault="00650C6F" w:rsidP="004F663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BD19F" w14:textId="77777777" w:rsidR="00650C6F" w:rsidRDefault="00650C6F" w:rsidP="004F663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13FEB">
      <w:rPr>
        <w:rStyle w:val="Numrodepage"/>
        <w:noProof/>
      </w:rPr>
      <w:t>1</w:t>
    </w:r>
    <w:r>
      <w:rPr>
        <w:rStyle w:val="Numrodepage"/>
      </w:rPr>
      <w:fldChar w:fldCharType="end"/>
    </w:r>
  </w:p>
  <w:p w14:paraId="3EAE24F0" w14:textId="77777777" w:rsidR="00650C6F" w:rsidRDefault="00650C6F" w:rsidP="004F663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C40BB" w14:textId="77777777" w:rsidR="00650C6F" w:rsidRDefault="00650C6F" w:rsidP="008A7EAC">
      <w:r>
        <w:separator/>
      </w:r>
    </w:p>
  </w:footnote>
  <w:footnote w:type="continuationSeparator" w:id="0">
    <w:p w14:paraId="00396208" w14:textId="77777777" w:rsidR="00650C6F" w:rsidRDefault="00650C6F" w:rsidP="008A7EAC">
      <w:r>
        <w:continuationSeparator/>
      </w:r>
    </w:p>
  </w:footnote>
  <w:footnote w:id="1">
    <w:p w14:paraId="513AE4C9" w14:textId="3C575267"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K. van der Stighelen (dir), </w:t>
      </w:r>
      <w:r w:rsidRPr="00650C6F">
        <w:rPr>
          <w:i/>
          <w:sz w:val="20"/>
          <w:szCs w:val="20"/>
        </w:rPr>
        <w:t>Michaelina Wautier 1604–1689. Glorifying a Forgotten Talent</w:t>
      </w:r>
      <w:r w:rsidRPr="00650C6F">
        <w:rPr>
          <w:sz w:val="20"/>
          <w:szCs w:val="20"/>
        </w:rPr>
        <w:t xml:space="preserve">, cat. Exp. Antwerpen (Museum aan the Stroom, MAS), 2018. </w:t>
      </w:r>
    </w:p>
  </w:footnote>
  <w:footnote w:id="2">
    <w:p w14:paraId="7AEE5C34" w14:textId="6633923B"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J. Sanzsalazar, “Michaelina Wautier y el enviado español”, </w:t>
      </w:r>
      <w:r w:rsidRPr="00650C6F">
        <w:rPr>
          <w:i/>
          <w:sz w:val="20"/>
          <w:szCs w:val="20"/>
        </w:rPr>
        <w:t>Tendencias del mercado del Arte</w:t>
      </w:r>
      <w:r w:rsidRPr="00650C6F">
        <w:rPr>
          <w:sz w:val="20"/>
          <w:szCs w:val="20"/>
        </w:rPr>
        <w:t xml:space="preserve"> (Abril, 2018), p. 88; </w:t>
      </w:r>
      <w:r w:rsidRPr="00650C6F">
        <w:rPr>
          <w:i/>
          <w:sz w:val="20"/>
          <w:szCs w:val="20"/>
        </w:rPr>
        <w:t>Ídem,</w:t>
      </w:r>
      <w:r w:rsidRPr="00650C6F">
        <w:rPr>
          <w:sz w:val="20"/>
          <w:szCs w:val="20"/>
        </w:rPr>
        <w:t xml:space="preserve"> “La Vocación de San Mateo: ¿Charles o Michaelina Wautier?”, </w:t>
      </w:r>
      <w:r w:rsidRPr="00650C6F">
        <w:rPr>
          <w:i/>
          <w:sz w:val="20"/>
          <w:szCs w:val="20"/>
        </w:rPr>
        <w:t>Tendencias del mercado del Arte</w:t>
      </w:r>
      <w:r w:rsidRPr="00650C6F">
        <w:rPr>
          <w:sz w:val="20"/>
          <w:szCs w:val="20"/>
        </w:rPr>
        <w:t xml:space="preserve"> (Mayo 2019), pp. 88-92. </w:t>
      </w:r>
    </w:p>
  </w:footnote>
  <w:footnote w:id="3">
    <w:p w14:paraId="198F624E" w14:textId="393D74A8"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F. de Rieu, </w:t>
      </w:r>
      <w:r w:rsidRPr="00650C6F">
        <w:rPr>
          <w:i/>
          <w:sz w:val="20"/>
          <w:szCs w:val="20"/>
        </w:rPr>
        <w:t>Les tableaux parlans du peintre Namurois</w:t>
      </w:r>
      <w:r w:rsidRPr="00650C6F">
        <w:rPr>
          <w:sz w:val="20"/>
          <w:szCs w:val="20"/>
        </w:rPr>
        <w:t xml:space="preserve">, Namur, chez Pierre Gerard, 1658; P.Y. Kairis, “Foisonnement et diversité: les peintres du XVIIe siècle”, en VAAA, </w:t>
      </w:r>
      <w:r w:rsidRPr="00650C6F">
        <w:rPr>
          <w:i/>
          <w:sz w:val="20"/>
          <w:szCs w:val="20"/>
        </w:rPr>
        <w:t>Un double regard sur 2000 ans d’art wallon</w:t>
      </w:r>
      <w:r w:rsidRPr="00650C6F">
        <w:rPr>
          <w:sz w:val="20"/>
          <w:szCs w:val="20"/>
        </w:rPr>
        <w:t xml:space="preserve">, cat.Exp. Liège (Musée de l’Art Wallon, 2000), Tournai, 2000, p. 338; J. Sanzsalazar, “The influence of Others. The Wautiers, David Teniers and the Archduke Leopold Wilhelm’s Theatrum Pictorium”, en </w:t>
      </w:r>
      <w:r w:rsidRPr="00650C6F">
        <w:rPr>
          <w:i/>
          <w:sz w:val="20"/>
          <w:szCs w:val="20"/>
        </w:rPr>
        <w:t>Michaelina Wautier 1604–1689. Glorifying a Forgotten Talent</w:t>
      </w:r>
      <w:r w:rsidRPr="00650C6F">
        <w:rPr>
          <w:sz w:val="20"/>
          <w:szCs w:val="20"/>
        </w:rPr>
        <w:t xml:space="preserve">, cat. Exp. Amberes 2018, p. 73, nota 27. </w:t>
      </w:r>
    </w:p>
  </w:footnote>
  <w:footnote w:id="4">
    <w:p w14:paraId="570952E0" w14:textId="72D40BA8"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Lienzo, 68,5 x 56,2 cm. (Sotheby’s), 6.12.2018. lot 193 (Follower of Diego Rodríguez de Silva y Velázquez, </w:t>
      </w:r>
      <w:r w:rsidRPr="00650C6F">
        <w:rPr>
          <w:i/>
          <w:sz w:val="20"/>
          <w:szCs w:val="20"/>
        </w:rPr>
        <w:t>Portrait of a Gentleman, half-length, with a moustache and Goatee, wearing a hat and armor with a lace collar</w:t>
      </w:r>
      <w:r w:rsidRPr="00650C6F">
        <w:rPr>
          <w:sz w:val="20"/>
          <w:szCs w:val="20"/>
        </w:rPr>
        <w:t xml:space="preserve">). </w:t>
      </w:r>
    </w:p>
  </w:footnote>
  <w:footnote w:id="5">
    <w:p w14:paraId="262EF1D1" w14:textId="65B0B743"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La confusión entre Gaspar de Crayer y Velázquez ha sido frecuente (Matías Díaz Padrón, “Gaspar de Crayer, pintor de retratos de los Austria”, </w:t>
      </w:r>
      <w:r w:rsidRPr="00650C6F">
        <w:rPr>
          <w:i/>
          <w:sz w:val="20"/>
          <w:szCs w:val="20"/>
        </w:rPr>
        <w:t xml:space="preserve">Archivo Español de Arte </w:t>
      </w:r>
      <w:r w:rsidRPr="00650C6F">
        <w:rPr>
          <w:sz w:val="20"/>
          <w:szCs w:val="20"/>
        </w:rPr>
        <w:t xml:space="preserve">XXXVIII, 151 (1965), pp. 229-244); así como entre Jacob van Oost y Maíno (M. Díaz Padrón, “Retrato de Sir Arthur Hopton y secretario del Meadows Museum restituido a Jacob van Oost”, </w:t>
      </w:r>
      <w:r w:rsidRPr="00650C6F">
        <w:rPr>
          <w:i/>
          <w:sz w:val="20"/>
          <w:szCs w:val="20"/>
        </w:rPr>
        <w:t>Archivo Español de Arte</w:t>
      </w:r>
      <w:r w:rsidRPr="00650C6F">
        <w:rPr>
          <w:sz w:val="20"/>
          <w:szCs w:val="20"/>
        </w:rPr>
        <w:t xml:space="preserve"> 82 (326, 2009), pp. 202-212). En la obra de Michaelina Wautier, destaca el caso del </w:t>
      </w:r>
      <w:r w:rsidRPr="00650C6F">
        <w:rPr>
          <w:i/>
          <w:sz w:val="20"/>
          <w:szCs w:val="20"/>
        </w:rPr>
        <w:t>San Juan Bautista</w:t>
      </w:r>
      <w:r w:rsidRPr="00650C6F">
        <w:rPr>
          <w:sz w:val="20"/>
          <w:szCs w:val="20"/>
        </w:rPr>
        <w:t xml:space="preserve"> del museo Lázaro Galdiano que se atribuía a Juan Martin Cabezalero y que se restituyó convincentemente a la pintora en fechas recientes (Van der Stighelen, en cat.exp. Amberes 2018, pp. 218-221, cat. 14).</w:t>
      </w:r>
    </w:p>
  </w:footnote>
  <w:footnote w:id="6">
    <w:p w14:paraId="3C963741" w14:textId="0550F731"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Nuestro agradecimiento a Regina Moreira, que nos facilitó el estudio de la pintura en curso de limpieza, confirmando la presencia de la firma y el rascado de la superficie en esta parte del lienzo. </w:t>
      </w:r>
    </w:p>
  </w:footnote>
  <w:footnote w:id="7">
    <w:p w14:paraId="43709D2A" w14:textId="5C1377FF"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Es el caso, por ejemplo, del </w:t>
      </w:r>
      <w:r w:rsidRPr="00650C6F">
        <w:rPr>
          <w:i/>
          <w:sz w:val="20"/>
          <w:szCs w:val="20"/>
        </w:rPr>
        <w:t>Joven Baco</w:t>
      </w:r>
      <w:r w:rsidRPr="00650C6F">
        <w:rPr>
          <w:sz w:val="20"/>
          <w:szCs w:val="20"/>
        </w:rPr>
        <w:t xml:space="preserve"> del museo de Praga (lienzo, 81 x 62 cm. Firmado y fechado en 1652), que de no ostentar claramente la firma “C. WAUTIER”, se adscribiría a Michaelina, como bien se ha apuntado (K. van der Stighelen, “Michaelina’s Versatile Hand. A career without Beginning or End ?”, en </w:t>
      </w:r>
      <w:r w:rsidRPr="00650C6F">
        <w:rPr>
          <w:i/>
          <w:sz w:val="20"/>
          <w:szCs w:val="20"/>
        </w:rPr>
        <w:t>Michaelina Wautier 1604–1689. Glorifying a Forgotten Talent</w:t>
      </w:r>
      <w:r w:rsidRPr="00650C6F">
        <w:rPr>
          <w:sz w:val="20"/>
          <w:szCs w:val="20"/>
        </w:rPr>
        <w:t xml:space="preserve">, cat. Exp. Amberes 2018, pp. 146, 148). </w:t>
      </w:r>
    </w:p>
  </w:footnote>
  <w:footnote w:id="8">
    <w:p w14:paraId="059D6E58" w14:textId="612371C9"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Lienzo, 63 x 56,5 cm. Firmado y fechado (arriba a la derecha): “Michaelina Wautier 1646”. Bruselas, Musées Royaux des Beaux Arts (Inv. 297). Adquirido en 1812 a M. Thys (H. Fierens-Gevaert, </w:t>
      </w:r>
      <w:r w:rsidRPr="00650C6F">
        <w:rPr>
          <w:i/>
          <w:sz w:val="20"/>
          <w:szCs w:val="20"/>
        </w:rPr>
        <w:t>Musées Royaux des Beaux-Arts de Belgique. Catalogue de la peinture ancienne</w:t>
      </w:r>
      <w:r w:rsidRPr="00650C6F">
        <w:rPr>
          <w:sz w:val="20"/>
          <w:szCs w:val="20"/>
        </w:rPr>
        <w:t xml:space="preserve">, Bruxelles, 1922, p. 232, nº 934; 2ª ed. con A. Laes, 1927, pp. 37, 238, 294. Sanzsalazar, “Michaelina Wautier y el enviado …”, pp. 88-91, fig. 1, Van der Stighelen, en cat.exp. Amberes 2018, pp. 162-165, cat. 2). </w:t>
      </w:r>
    </w:p>
  </w:footnote>
  <w:footnote w:id="9">
    <w:p w14:paraId="3E7E503A" w14:textId="218A8B97"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Durante la exposición de la obra en Amberes en 2018, pudimos observar, en la zona correspondiente a la firma, un recuadro más oscuro indicando que se habían hecho pruebas en la zona. Ignoramos qué ha sucedido en esta parte del lienzo, pero lo cierto es que la firma no era visible. </w:t>
      </w:r>
    </w:p>
  </w:footnote>
  <w:footnote w:id="10">
    <w:p w14:paraId="18DBB7E0" w14:textId="6FA01401"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Inscrito: “Michaelina Woutiers pinxit, Paull. Pontius fecit exc. et </w:t>
      </w:r>
      <w:r w:rsidRPr="00650C6F">
        <w:rPr>
          <w:smallCaps/>
          <w:sz w:val="20"/>
          <w:szCs w:val="20"/>
        </w:rPr>
        <w:t>Excell</w:t>
      </w:r>
      <w:r w:rsidRPr="00650C6F">
        <w:rPr>
          <w:sz w:val="20"/>
          <w:szCs w:val="20"/>
          <w:vertAlign w:val="superscript"/>
        </w:rPr>
        <w:t>me</w:t>
      </w:r>
      <w:r w:rsidRPr="00650C6F">
        <w:rPr>
          <w:sz w:val="20"/>
          <w:szCs w:val="20"/>
        </w:rPr>
        <w:t xml:space="preserve"> suae Lub. Mer. Dedicauit. 1643”. Hollstein, </w:t>
      </w:r>
      <w:r w:rsidRPr="00650C6F">
        <w:rPr>
          <w:i/>
          <w:sz w:val="20"/>
          <w:szCs w:val="20"/>
        </w:rPr>
        <w:t>Dutch &amp; flemish etchings, engravings and woodcuts ca. 1450-1700</w:t>
      </w:r>
      <w:r w:rsidRPr="00650C6F">
        <w:rPr>
          <w:sz w:val="20"/>
          <w:szCs w:val="20"/>
        </w:rPr>
        <w:t xml:space="preserve">, XVII, p. 167, n° 61; Van der Stighelen, in cat. exp. Amberes 2018, pp. 156-161, cat. 1. </w:t>
      </w:r>
    </w:p>
  </w:footnote>
  <w:footnote w:id="11">
    <w:p w14:paraId="502EBC06" w14:textId="72AD61A4"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Lienzo, 69,5 x 59 cm. Firmado y fechado (arriba a la izquierda) : “Michaelina Wautier fecit 1654”, y en caracteres chinos (a la derecha, de arriba a abajo) : “Wei Kaungguo”, junto a la trascripción en latín. Colección privada. L. Huet y J. Grieten, </w:t>
      </w:r>
      <w:r w:rsidRPr="00650C6F">
        <w:rPr>
          <w:i/>
          <w:sz w:val="20"/>
          <w:szCs w:val="20"/>
        </w:rPr>
        <w:t>Oude meesteressen. Vrouwelijke kunstenaars in de Nederlanden</w:t>
      </w:r>
      <w:r w:rsidRPr="00650C6F">
        <w:rPr>
          <w:sz w:val="20"/>
          <w:szCs w:val="20"/>
        </w:rPr>
        <w:t xml:space="preserve">, Leuven, 1998, pp. 156-157 ; Van der  Stighelen, en cat.exp. Amberes 2018, pp. 186-193, cat. 8. </w:t>
      </w:r>
    </w:p>
  </w:footnote>
  <w:footnote w:id="12">
    <w:p w14:paraId="47695017" w14:textId="27D1299A"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Lienzo, 73 x 58,5 cm. Con el escudo de la familia Wautier (arriba a la izquierda, bajo la capa de pintura). J. Sanzsalazar, “Michaelina Wautier y la boda de su hermano : historia de un retrato identificado”, </w:t>
      </w:r>
      <w:r w:rsidRPr="00650C6F">
        <w:rPr>
          <w:i/>
          <w:sz w:val="20"/>
          <w:szCs w:val="20"/>
        </w:rPr>
        <w:t>Tendencias del mercado del Arte</w:t>
      </w:r>
      <w:r w:rsidRPr="00650C6F">
        <w:rPr>
          <w:sz w:val="20"/>
          <w:szCs w:val="20"/>
        </w:rPr>
        <w:t xml:space="preserve">, enero 2014, pp. 90-94, fig. 1; Van der Stighelen, en cat.exp. Amberes 2018, pp. 182-185, cat. 7. </w:t>
      </w:r>
    </w:p>
  </w:footnote>
  <w:footnote w:id="13">
    <w:p w14:paraId="5948BAC4" w14:textId="6D8B72EC"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Lienzo, 210 x 120 cm. Supuestamente firmado : “C. Wautier”. República Checa, Chateau Hluboká, inv. HL-HL-05510. En 1988 se señaló la presencia de la firma de Charles Wautier (Huet y Grieten, </w:t>
      </w:r>
      <w:r w:rsidRPr="00650C6F">
        <w:rPr>
          <w:i/>
          <w:sz w:val="20"/>
          <w:szCs w:val="20"/>
        </w:rPr>
        <w:t xml:space="preserve">Oude meesteressen..., </w:t>
      </w:r>
      <w:r w:rsidRPr="00650C6F">
        <w:rPr>
          <w:sz w:val="20"/>
          <w:szCs w:val="20"/>
        </w:rPr>
        <w:t>1998, p. 155); información que se transmite en publicaciones posteriores sin ilustrar la pintura (Kairis, “Foisonnement et diversité…”, 2000, p. 338; Kairis, “Le portrait dans le Namurois au XVII</w:t>
      </w:r>
      <w:r w:rsidRPr="00650C6F">
        <w:rPr>
          <w:sz w:val="20"/>
          <w:szCs w:val="20"/>
          <w:vertAlign w:val="superscript"/>
        </w:rPr>
        <w:t>e</w:t>
      </w:r>
      <w:r w:rsidRPr="00650C6F">
        <w:rPr>
          <w:sz w:val="20"/>
          <w:szCs w:val="20"/>
        </w:rPr>
        <w:t xml:space="preserve"> siècle, en Jacques Toussaint (ed.), </w:t>
      </w:r>
      <w:r w:rsidRPr="00650C6F">
        <w:rPr>
          <w:i/>
          <w:sz w:val="20"/>
          <w:szCs w:val="20"/>
        </w:rPr>
        <w:t>Portraits en Namurois</w:t>
      </w:r>
      <w:r w:rsidRPr="00650C6F">
        <w:rPr>
          <w:sz w:val="20"/>
          <w:szCs w:val="20"/>
        </w:rPr>
        <w:t xml:space="preserve">, Namur, 2002, p. 49 n. 22; K. Van der Katlijne van der Stighelen, “Prima inter pares: over de voorkeur van aartshertog Leopold-Wilhelm voor Michaelina Woutiers”, in </w:t>
      </w:r>
      <w:r w:rsidRPr="00650C6F">
        <w:rPr>
          <w:i/>
          <w:sz w:val="20"/>
          <w:szCs w:val="20"/>
        </w:rPr>
        <w:t>Sponsors of the past: Flemish art and patronage 1550-1700</w:t>
      </w:r>
      <w:r w:rsidRPr="00650C6F">
        <w:rPr>
          <w:sz w:val="20"/>
          <w:szCs w:val="20"/>
        </w:rPr>
        <w:t xml:space="preserve">, Symposium Katholieke Universiteit Leuven, (14-15 December 2001), Turnhout, Brepols, 2005, p. 93, nota 19). Más recientemente se reproduce el retrato con una atribución a “J. Wauters” (L. Slavícek, </w:t>
      </w:r>
      <w:r w:rsidRPr="00650C6F">
        <w:rPr>
          <w:i/>
          <w:sz w:val="20"/>
          <w:szCs w:val="20"/>
        </w:rPr>
        <w:t>‘Sobě, umění, přátelům’: kapitoly z dějin sběratelství v Čechách a na Moravě; 1650–1939</w:t>
      </w:r>
      <w:r w:rsidRPr="00650C6F">
        <w:rPr>
          <w:sz w:val="20"/>
          <w:szCs w:val="20"/>
        </w:rPr>
        <w:t xml:space="preserve">, Brno, 2007, pp. 19–20; K. Cichrová, </w:t>
      </w:r>
      <w:r w:rsidRPr="00650C6F">
        <w:rPr>
          <w:i/>
          <w:sz w:val="20"/>
          <w:szCs w:val="20"/>
        </w:rPr>
        <w:t>Vlámské tapiserie na zámcích Hluboká a eský Krumlov: Flemish Tapestries at the Castles of Hluboká and eský Krumlov</w:t>
      </w:r>
      <w:r w:rsidRPr="00650C6F">
        <w:rPr>
          <w:sz w:val="20"/>
          <w:szCs w:val="20"/>
        </w:rPr>
        <w:t xml:space="preserve">, Národní památkový ústav, 2014, p. 23, fig. 13), lo que sugiere una lectura errónea de la firma. Sin embargo, la jefa de colecciones Ivana Troupová, a quien solicitamos la inspección de la misma, sostiene que tal firma no existe (comunicación escrita, 12.12.2017). Al no tener la posibilidad de comprobarlo en persona, no hemos podido esclarecer la cuestión. En cualquier caso el retrato se cataloga como anónimo en el museo, junto a una copia de idénticas dimensiones pero de calidad muy inferior (lienzo, 210 x 120 cm.  Hluboká nad Vltavou, inv. HL-HL-03004). El estudio de la cabeza del archiduque, localizado en subasta y atribuido por error a Justus van Egmont, demuestra que el archiduque posó del natural (Sanzsalazar, “The influence of Others… “, 2018, p. 70-73, fig. 6, 8, 9). </w:t>
      </w:r>
    </w:p>
  </w:footnote>
  <w:footnote w:id="14">
    <w:p w14:paraId="5777AB95" w14:textId="77777777"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“D FERNANDO DELLA CVEVA DVCA DI ALBVRQVE / QVE, GRANDE DI SPAGNA DI PRIMA CLASSE, VICERE / E CAPITAN GENERALE DEL REGNO DI SICILIA / MAGGIORDOMO MAGGRE DELL’AVGVSTISSIMA IMPERATRICE : MARGHERITA NELL SVO VIAGGIO DA SPAGNA IN TIROLO”. </w:t>
      </w:r>
      <w:r w:rsidRPr="00650C6F">
        <w:rPr>
          <w:i/>
          <w:sz w:val="20"/>
          <w:szCs w:val="20"/>
        </w:rPr>
        <w:t>Historia di Leopoldo Cesare descritta dal co. Galeazzo Gualdo Priorato….</w:t>
      </w:r>
      <w:r w:rsidRPr="00650C6F">
        <w:rPr>
          <w:sz w:val="20"/>
          <w:szCs w:val="20"/>
        </w:rPr>
        <w:t>, parte terza, In Vienna d’Austria appresso Gio. Battista Hacque…, 1674, pp. 48-49.</w:t>
      </w:r>
    </w:p>
  </w:footnote>
  <w:footnote w:id="15">
    <w:p w14:paraId="37D73849" w14:textId="708D2299"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Sanzsalazar, “The Influence of Others…”, 2018, p. 82, nota 30;  Kairis, en cat.exp. Amberes 2018, pp. 268, 272, cats. 28, 30). </w:t>
      </w:r>
    </w:p>
  </w:footnote>
  <w:footnote w:id="16">
    <w:p w14:paraId="396099FA" w14:textId="3784277B"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C. Fernández Duro, </w:t>
      </w:r>
      <w:r w:rsidRPr="00650C6F">
        <w:rPr>
          <w:rFonts w:eastAsia="Times New Roman"/>
          <w:i/>
          <w:sz w:val="20"/>
          <w:szCs w:val="20"/>
        </w:rPr>
        <w:t>Don Francisco Fernández de la Cueva, Duque de Alburquerque. Informe en desagravio de tan ilustre Prócer</w:t>
      </w:r>
      <w:r w:rsidRPr="00650C6F">
        <w:rPr>
          <w:rFonts w:eastAsia="Times New Roman"/>
          <w:sz w:val="20"/>
          <w:szCs w:val="20"/>
        </w:rPr>
        <w:t xml:space="preserve">, Memorias de la Real Academia de la Historia, tomo X, Madrid, 1885. </w:t>
      </w:r>
    </w:p>
  </w:footnote>
  <w:footnote w:id="17">
    <w:p w14:paraId="36028B3D" w14:textId="783E9C0C"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(1). Lienzo, Medidas desconocidas. Con la inscripción: “DON FRANCISCO FERNANDEZ Đ LACVEVA DUQV / ALBVRQVERQ. GENTILHOBRE Đ LA CAMARA ĐL EXERCICIO ĐSV / MAGESTAD, VIREI CAPP</w:t>
      </w:r>
      <w:r w:rsidRPr="00650C6F">
        <w:rPr>
          <w:sz w:val="20"/>
          <w:szCs w:val="20"/>
          <w:vertAlign w:val="superscript"/>
        </w:rPr>
        <w:t>N</w:t>
      </w:r>
      <w:r w:rsidRPr="00650C6F">
        <w:rPr>
          <w:sz w:val="20"/>
          <w:szCs w:val="20"/>
        </w:rPr>
        <w:t>. G</w:t>
      </w:r>
      <w:r w:rsidRPr="00650C6F">
        <w:rPr>
          <w:sz w:val="20"/>
          <w:szCs w:val="20"/>
          <w:vertAlign w:val="superscript"/>
        </w:rPr>
        <w:t>L</w:t>
      </w:r>
      <w:r w:rsidRPr="00650C6F">
        <w:rPr>
          <w:sz w:val="20"/>
          <w:szCs w:val="20"/>
        </w:rPr>
        <w:t xml:space="preserve"> ĐLA NVEVA ESPANA, i CAPP</w:t>
      </w:r>
      <w:r w:rsidRPr="00650C6F">
        <w:rPr>
          <w:sz w:val="20"/>
          <w:szCs w:val="20"/>
          <w:vertAlign w:val="superscript"/>
        </w:rPr>
        <w:t>N</w:t>
      </w:r>
      <w:r w:rsidRPr="00650C6F">
        <w:rPr>
          <w:sz w:val="20"/>
          <w:szCs w:val="20"/>
        </w:rPr>
        <w:t xml:space="preserve"> G</w:t>
      </w:r>
      <w:r w:rsidRPr="00650C6F">
        <w:rPr>
          <w:sz w:val="20"/>
          <w:szCs w:val="20"/>
          <w:vertAlign w:val="superscript"/>
        </w:rPr>
        <w:t>L</w:t>
      </w:r>
      <w:r w:rsidRPr="00650C6F">
        <w:rPr>
          <w:sz w:val="20"/>
          <w:szCs w:val="20"/>
        </w:rPr>
        <w:t xml:space="preserve"> PERPETVO / ĐLAS GALERAS Đ ESPANA SVDAD 34 ANOS ENTRO ANO Đ 1653”. México, Secretaría de Cultura, Salón de Cabildos. (2) Lienzo, 100 x 74 cm. Con la inscripción: “D.D.francçiscus fernnandes de la Cueba. Dux de albur / querque 22ProRex U dux Generalis Ano 1653”. México, Museo Nacional de Historia, Castillo de Chapultepec. Este lienzo repite la misma figura, pero sobre fondo neutro. Véase F. Montes González,  </w:t>
      </w:r>
      <w:r w:rsidRPr="00650C6F">
        <w:rPr>
          <w:i/>
          <w:sz w:val="20"/>
          <w:szCs w:val="20"/>
        </w:rPr>
        <w:t xml:space="preserve">Mecenazgo virreinal y patrocinio artístico. </w:t>
      </w:r>
      <w:r w:rsidRPr="00650C6F">
        <w:rPr>
          <w:i/>
          <w:iCs/>
          <w:sz w:val="20"/>
          <w:szCs w:val="20"/>
        </w:rPr>
        <w:t xml:space="preserve">El ducado de Alburquerque en la Nueva España, </w:t>
      </w:r>
      <w:r w:rsidRPr="00650C6F">
        <w:rPr>
          <w:iCs/>
          <w:sz w:val="20"/>
          <w:szCs w:val="20"/>
        </w:rPr>
        <w:t>Sevilla, 2016</w:t>
      </w:r>
      <w:r w:rsidRPr="00650C6F">
        <w:rPr>
          <w:sz w:val="20"/>
          <w:szCs w:val="20"/>
        </w:rPr>
        <w:t xml:space="preserve">, pp. 113-119, figs. Nuestro agradecimiento a Francisco Montes González, que nos proporcionó una copia de su libro así como la imagen ilustrada (comunicación escrita, 31.03. 2020). </w:t>
      </w:r>
    </w:p>
  </w:footnote>
  <w:footnote w:id="18">
    <w:p w14:paraId="5C15F456" w14:textId="76B2B8DA"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Sección de órdenes militares: índice de expedientillos y datas de hábito de caballeros en Santiago, Calatrava, Alcántara y Montesa</w:t>
      </w:r>
      <w:r w:rsidRPr="00650C6F">
        <w:rPr>
          <w:sz w:val="20"/>
          <w:szCs w:val="20"/>
        </w:rPr>
        <w:t xml:space="preserve">, Archivo Histórico Nacional, Madrid, 1976, Expediente 2935. </w:t>
      </w:r>
    </w:p>
  </w:footnote>
  <w:footnote w:id="19">
    <w:p w14:paraId="7256DD05" w14:textId="4C0C08DA"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Con la inscripción: “Illustrissimus D. Antonius Pimentel de Prado Eques auratus S. Jacobi Catholicae Maiest. a consiliis belli et sui in Belgio exercitus et praefectus generalis locum tenens ac ad Sueciae Coronam deputatus Legatus etc”; y debajo “C. Woutiers pinx. Petrus de Iode sculp. Gaspar de Hollander exc. 1650”. Madrid, Biblioteca Nacional de España (IH/7299 Colección Carderera.Vtu.ø 297-1); también en Londres, British Museum, inv. 1891,0414.169. El ejemplar de la BNE se conserva en el volumen publicado por Pieter de Jode del </w:t>
      </w:r>
      <w:r w:rsidRPr="00650C6F">
        <w:rPr>
          <w:i/>
          <w:sz w:val="20"/>
          <w:szCs w:val="20"/>
        </w:rPr>
        <w:t xml:space="preserve">Theatrum pontificum, imperatorum, regum, ducum, principum, etc. pace et bello illustrium, </w:t>
      </w:r>
      <w:r w:rsidRPr="00650C6F">
        <w:rPr>
          <w:sz w:val="20"/>
          <w:szCs w:val="20"/>
        </w:rPr>
        <w:t xml:space="preserve">Antuerpiae : apud Petrum de Iode, 1651, parte de un conjunto de 181 retratos y 2 grabados alegóricos de la muerte y la fama. Véase Sanzsalazar, “Michaelina Wautier y el enviado…”, 2018, p. 89, señalando ediciones de Johannes Meysens, Th. Van Merlen y Gaspar Hollander; Kairis, en cat.exp. Amberes 2018, p. 268, cat. 29 (edición de Van Merlen). </w:t>
      </w:r>
    </w:p>
  </w:footnote>
  <w:footnote w:id="20">
    <w:p w14:paraId="4F497BD5" w14:textId="2E0074A6"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Van der Stighelen, en cat.exp. Amberes 2018, pp. 160-161, figs. </w:t>
      </w:r>
    </w:p>
  </w:footnote>
  <w:footnote w:id="21">
    <w:p w14:paraId="67B94F75" w14:textId="271583D1"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J. Hortal Muñoz, </w:t>
      </w:r>
      <w:r w:rsidRPr="00650C6F">
        <w:rPr>
          <w:i/>
          <w:sz w:val="20"/>
          <w:szCs w:val="20"/>
        </w:rPr>
        <w:t>Las Guardias reales de los Austrias hispanos</w:t>
      </w:r>
      <w:r w:rsidRPr="00650C6F">
        <w:rPr>
          <w:sz w:val="20"/>
          <w:szCs w:val="20"/>
        </w:rPr>
        <w:t xml:space="preserve">, Madrid, 2013, pp. 141, 161, 165, 1044 ; K. van der Stighelen, “Growing up with Eight Brothers. A Biographical Exploration”, en </w:t>
      </w:r>
      <w:r w:rsidRPr="00650C6F">
        <w:rPr>
          <w:i/>
          <w:sz w:val="20"/>
          <w:szCs w:val="20"/>
        </w:rPr>
        <w:t>Michaelina Wautier 1604-1689. Glorifying a Forgotten Talent</w:t>
      </w:r>
      <w:r w:rsidRPr="00650C6F">
        <w:rPr>
          <w:sz w:val="20"/>
          <w:szCs w:val="20"/>
        </w:rPr>
        <w:t xml:space="preserve">, cat. Exp. Amberes 2018, pp. 15-39. 2018, p. 20-21. </w:t>
      </w:r>
    </w:p>
  </w:footnote>
  <w:footnote w:id="22">
    <w:p w14:paraId="78C88696" w14:textId="2DEFDC2D"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Sanzsalazar, “Michaelina Wautier y la boda…”, 2014, pp. 90-94. </w:t>
      </w:r>
    </w:p>
  </w:footnote>
  <w:footnote w:id="23">
    <w:p w14:paraId="58A63662" w14:textId="266F87FF"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Memorial histórico español : colección de documentos, opúsculos y antigüedades que publica la Real Academia de la Historia</w:t>
      </w:r>
      <w:r w:rsidRPr="00650C6F">
        <w:rPr>
          <w:sz w:val="20"/>
          <w:szCs w:val="20"/>
        </w:rPr>
        <w:t xml:space="preserve">, Tomo XV, Madrid, 1862, Madrid y Agosto 24 de 1639 (legajo suelto, n° 1, fol. 429), A. Rodríguez Villa, “El Duque de Alburquerque en la Batalla de Rocroy. Impugnación a un articulo del Duque de Aumale sobre esta batalla y noticia bibliográfica de aquel personaje”, Madrid, Imprentas D. G. Hernando, 1884, en Cesáreo Fernández Duro, </w:t>
      </w:r>
      <w:r w:rsidRPr="00650C6F">
        <w:rPr>
          <w:i/>
          <w:sz w:val="20"/>
          <w:szCs w:val="20"/>
        </w:rPr>
        <w:t>Don Francisco Fernández de la Cueva, Duque de Alburquerque. Informe en desagravio de tan ilustre prócer presentado a la Real Academia de la Historia</w:t>
      </w:r>
      <w:r w:rsidRPr="00650C6F">
        <w:rPr>
          <w:sz w:val="20"/>
          <w:szCs w:val="20"/>
        </w:rPr>
        <w:t xml:space="preserve">, Madrid, Imprenta y fundición de Manuel Tello, 1884, p. 337, seguido de un informe de Cesáreo Fernández Duró, pp. 358, y ss. </w:t>
      </w:r>
    </w:p>
  </w:footnote>
  <w:footnote w:id="24">
    <w:p w14:paraId="0355660E" w14:textId="557D8998"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Rodríguez Villa, “El Duque de Alburquerque en la Batalla de Rocroy…”, 1884, p. 326. </w:t>
      </w:r>
    </w:p>
  </w:footnote>
  <w:footnote w:id="25">
    <w:p w14:paraId="74777741" w14:textId="2BCAC289"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Melo señala a “Alburquerque, también con la espada en la mano, cumpliendo con las obligaciones de la sangre” (“Carta de Don Francisco de Melo al Rey, Madrid y 11 de Junio de 1642”, en </w:t>
      </w:r>
      <w:r w:rsidRPr="00650C6F">
        <w:rPr>
          <w:i/>
          <w:sz w:val="20"/>
          <w:szCs w:val="20"/>
        </w:rPr>
        <w:t xml:space="preserve">Memorial histórico español…, </w:t>
      </w:r>
      <w:r w:rsidRPr="00650C6F">
        <w:rPr>
          <w:sz w:val="20"/>
          <w:szCs w:val="20"/>
        </w:rPr>
        <w:t xml:space="preserve">Tomo XIX, Madrid, 1865, p. 265).  </w:t>
      </w:r>
    </w:p>
  </w:footnote>
  <w:footnote w:id="26">
    <w:p w14:paraId="7C09E464" w14:textId="5C3FE3D9" w:rsidR="00650C6F" w:rsidRPr="00650C6F" w:rsidRDefault="00650C6F" w:rsidP="00650C6F">
      <w:pPr>
        <w:jc w:val="both"/>
        <w:rPr>
          <w:sz w:val="20"/>
          <w:szCs w:val="20"/>
        </w:rPr>
      </w:pPr>
      <w:r w:rsidRPr="00650C6F">
        <w:rPr>
          <w:rStyle w:val="Marquenotebasdepage"/>
          <w:sz w:val="20"/>
          <w:szCs w:val="20"/>
        </w:rPr>
        <w:footnoteRef/>
      </w:r>
      <w:r w:rsidRPr="00650C6F">
        <w:rPr>
          <w:sz w:val="20"/>
          <w:szCs w:val="20"/>
        </w:rPr>
        <w:t xml:space="preserve"> “D. Francisco de Melo alaba mucho el valor con que habéis procedido …” y el “ejemplo que dais para que se alienten todos”, (“Carta de Felipe IV a Alburquerque, de Molina á 2 de julio de 1642”, original en el archivo de la casa de Alburquerque; en </w:t>
      </w:r>
      <w:r w:rsidRPr="00650C6F">
        <w:rPr>
          <w:i/>
          <w:sz w:val="20"/>
          <w:szCs w:val="20"/>
        </w:rPr>
        <w:t>Memorial histórico español …</w:t>
      </w:r>
      <w:r w:rsidRPr="00650C6F">
        <w:rPr>
          <w:sz w:val="20"/>
          <w:szCs w:val="20"/>
        </w:rPr>
        <w:t xml:space="preserve"> Tomo XIX, 1865, p. 463; Rodríguez Villa, </w:t>
      </w:r>
      <w:r w:rsidRPr="00650C6F">
        <w:rPr>
          <w:rFonts w:eastAsia="Times New Roman"/>
          <w:sz w:val="20"/>
          <w:szCs w:val="20"/>
        </w:rPr>
        <w:t>“El Duque de Alburquerque en la Batalla de Rocroy</w:t>
      </w:r>
      <w:r w:rsidRPr="00650C6F">
        <w:rPr>
          <w:sz w:val="20"/>
          <w:szCs w:val="20"/>
        </w:rPr>
        <w:t>…”, 1884, p. 338.).</w:t>
      </w:r>
    </w:p>
  </w:footnote>
  <w:footnote w:id="27">
    <w:p w14:paraId="79D51F4C" w14:textId="585F3E45"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Carta de Madrid y Mayo 19 de 1643, en </w:t>
      </w:r>
      <w:r w:rsidRPr="00650C6F">
        <w:rPr>
          <w:i/>
          <w:sz w:val="20"/>
          <w:szCs w:val="20"/>
        </w:rPr>
        <w:t>Memorial histórico español</w:t>
      </w:r>
      <w:r w:rsidRPr="00650C6F">
        <w:rPr>
          <w:sz w:val="20"/>
          <w:szCs w:val="20"/>
        </w:rPr>
        <w:t xml:space="preserve">…, Tomo XVII, 1863, p. 95. </w:t>
      </w:r>
    </w:p>
  </w:footnote>
  <w:footnote w:id="28">
    <w:p w14:paraId="1A2B202F" w14:textId="048D913C"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La carrera de Paul Bernard, Conde de Fontaine o Fontana –cuyo título se españolizó llamándolo Conde de Fuentes- se ha confundido con la de Pedro Enríquez de Acevedo, conde de Fuentes de Valdeopero (Zamora, 1525- Milán, 1610), que estuvo en los Países Bajos entre 1592 y 1596 (H.-L.-Gustave baron Guillaume, “FONTAINE (Paul-Bernard, comte DE)”, en </w:t>
      </w:r>
      <w:r w:rsidRPr="00650C6F">
        <w:rPr>
          <w:i/>
          <w:sz w:val="20"/>
          <w:szCs w:val="20"/>
        </w:rPr>
        <w:t>Biographie Nationale publiée par l’Académie Royale des Sciences, des Lettres et des Beaux-Arts de Belgique,</w:t>
      </w:r>
      <w:r w:rsidRPr="00650C6F">
        <w:rPr>
          <w:sz w:val="20"/>
          <w:szCs w:val="20"/>
        </w:rPr>
        <w:t xml:space="preserve"> tome septième, Bruxelles, 1883, p. 191 ; Ch. Guyoit y L. Germain de Maidy, “Paul-Bernard comte de Fontaine, tué à la bataille de Rocroi en 1643”, </w:t>
      </w:r>
      <w:r w:rsidRPr="00650C6F">
        <w:rPr>
          <w:i/>
          <w:sz w:val="20"/>
          <w:szCs w:val="20"/>
        </w:rPr>
        <w:t>Mémoires de la société d'Archéologie Lorraine et du musée historique de Lorrain</w:t>
      </w:r>
      <w:r w:rsidRPr="00650C6F">
        <w:rPr>
          <w:sz w:val="20"/>
          <w:szCs w:val="20"/>
        </w:rPr>
        <w:t xml:space="preserve">, 3e série, n ° XIV (1886), pp. 301-336 ; L. Van Meerbeeck, "Un officier Lorrain au service des Pays-Bas, Paul-Bernard de Fontaine d'après des documents inédits (1596-1643)", </w:t>
      </w:r>
      <w:r w:rsidRPr="00650C6F">
        <w:rPr>
          <w:i/>
          <w:sz w:val="20"/>
          <w:szCs w:val="20"/>
        </w:rPr>
        <w:t>Revue Internationale d'Histoire Militaire</w:t>
      </w:r>
      <w:r w:rsidRPr="00650C6F">
        <w:rPr>
          <w:sz w:val="20"/>
          <w:szCs w:val="20"/>
        </w:rPr>
        <w:t xml:space="preserve">, 1965, pp. 302-320). A este respecto recordamos que el genealogista Goethals señala que el padre de los Wautier -Charles Wautier (†1617)-, habría sido “paje del marqués de Fuentes” (“Seigneur de Ham-sur-Heur, page du marquis de Fuentes, vice-roi de Naples, mort à Mons le 24 novembre 1617 et enterré à l'église Saint- Nicolas de cette ville (Mons)”; F.V. Goethals, </w:t>
      </w:r>
      <w:r w:rsidRPr="00650C6F">
        <w:rPr>
          <w:i/>
          <w:sz w:val="20"/>
          <w:szCs w:val="20"/>
        </w:rPr>
        <w:t>Dictionnaire généalogique et héraldique des familles nobles du Royaume de Belgique</w:t>
      </w:r>
      <w:r w:rsidRPr="00650C6F">
        <w:rPr>
          <w:sz w:val="20"/>
          <w:szCs w:val="20"/>
        </w:rPr>
        <w:t>, Bruxelles, IV 1852, p. 464). Eso significaría que Charles Wautier padre habría estado en el entorno del dicho Pedro Enríquez de Acevedo poco después de su primer matrimonio en 1593 (Van der Stighelen, “Growing up with Eight Brothers ..”, 2018, p. 17, señala varios errores transmitidos por Goethals). La coincidencia del nombre nos trae la duda de si el Fuentes señalado por Goethals podría ser Paul Bernard, o el padre de éste, François de Fontaine, conde de Fontaine, Señor de Cierges en Champagne, mayordomo del duque de Lorena que ocupó grandes puestos políticos y militares.</w:t>
      </w:r>
    </w:p>
  </w:footnote>
  <w:footnote w:id="29">
    <w:p w14:paraId="4AEFA106" w14:textId="7BCB1E95"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“Mort du Comte de / Fontaine Mareschal de Camp / General de L’armée d’Espagne / Tué dans sa Chaise”. Con la inscripción “A. Boudan excudit Cum Privilegio Regis”, y bajo el título : </w:t>
      </w:r>
      <w:r w:rsidRPr="00650C6F">
        <w:rPr>
          <w:i/>
          <w:sz w:val="20"/>
          <w:szCs w:val="20"/>
        </w:rPr>
        <w:t>Les Heureux commencements du règne de Louis XIII sous la généreuse conduite du duc d’Enguien</w:t>
      </w:r>
      <w:r w:rsidRPr="00650C6F">
        <w:rPr>
          <w:sz w:val="20"/>
          <w:szCs w:val="20"/>
        </w:rPr>
        <w:t xml:space="preserve">. Collection Michel Hennin, </w:t>
      </w:r>
      <w:r w:rsidRPr="00650C6F">
        <w:rPr>
          <w:i/>
          <w:sz w:val="20"/>
          <w:szCs w:val="20"/>
        </w:rPr>
        <w:t>Estampes relatives à l'Histoire de France</w:t>
      </w:r>
      <w:r w:rsidRPr="00650C6F">
        <w:rPr>
          <w:sz w:val="20"/>
          <w:szCs w:val="20"/>
        </w:rPr>
        <w:t xml:space="preserve">, Tome 37, Pièces 3305-3407, période : 1643. Paris, Bibliothèque nationale de France, département Estampes et photographie, RESERVE QB-201 (37)-FOL. </w:t>
      </w:r>
    </w:p>
  </w:footnote>
  <w:footnote w:id="30">
    <w:p w14:paraId="02EF642F" w14:textId="6287CC3C"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De Jode, </w:t>
      </w:r>
      <w:r w:rsidRPr="00650C6F">
        <w:rPr>
          <w:i/>
          <w:sz w:val="20"/>
          <w:szCs w:val="20"/>
        </w:rPr>
        <w:t xml:space="preserve">Theatrum pontificium…, </w:t>
      </w:r>
      <w:r w:rsidRPr="00650C6F">
        <w:rPr>
          <w:sz w:val="20"/>
          <w:szCs w:val="20"/>
        </w:rPr>
        <w:t xml:space="preserve">1651, pl. 101; con la inscripción: “EXCELLENTISSIMVS DNS PAVLVS BERNARDVS / COMES DE FONTAINE, &amp;. CATHO. MA./TIS PER / BELGIVM GNALIS PRÆFECTVS”, y “P. De Iode ex.”. Amberes, Museum Plantin Moretus, inv. PK.OPB.0134.102. Hollstein, </w:t>
      </w:r>
      <w:r w:rsidRPr="00650C6F">
        <w:rPr>
          <w:i/>
          <w:sz w:val="20"/>
          <w:szCs w:val="20"/>
        </w:rPr>
        <w:t>Dutch &amp; flemish…</w:t>
      </w:r>
      <w:r w:rsidRPr="00650C6F">
        <w:rPr>
          <w:sz w:val="20"/>
          <w:szCs w:val="20"/>
        </w:rPr>
        <w:t xml:space="preserve">, IX, p. 220, n° 205-384. Existe otro retrato distinto grabado por Lucas Vorsterman, Hollstein, </w:t>
      </w:r>
      <w:r w:rsidRPr="00650C6F">
        <w:rPr>
          <w:i/>
          <w:sz w:val="20"/>
          <w:szCs w:val="20"/>
        </w:rPr>
        <w:t xml:space="preserve">Dutch &amp; flemish…, </w:t>
      </w:r>
      <w:r w:rsidRPr="00650C6F">
        <w:rPr>
          <w:sz w:val="20"/>
          <w:szCs w:val="20"/>
        </w:rPr>
        <w:t xml:space="preserve">XLIII, n° 158.155. </w:t>
      </w:r>
    </w:p>
  </w:footnote>
  <w:footnote w:id="31">
    <w:p w14:paraId="31A84A67" w14:textId="3CE4E8CC"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Madrid y Julio 28 de 1642, en </w:t>
      </w:r>
      <w:r w:rsidRPr="00650C6F">
        <w:rPr>
          <w:i/>
          <w:sz w:val="20"/>
          <w:szCs w:val="20"/>
        </w:rPr>
        <w:t>Memorial histórico español…,</w:t>
      </w:r>
      <w:r w:rsidRPr="00650C6F">
        <w:rPr>
          <w:sz w:val="20"/>
          <w:szCs w:val="20"/>
        </w:rPr>
        <w:t xml:space="preserve"> Tomo XVII, 1863, p. 163 (pp. 159—167); J.F. Monlezun, </w:t>
      </w:r>
      <w:r w:rsidRPr="00650C6F">
        <w:rPr>
          <w:i/>
          <w:sz w:val="20"/>
          <w:szCs w:val="20"/>
        </w:rPr>
        <w:t>Bataille de Rocroi,</w:t>
      </w:r>
      <w:r w:rsidRPr="00650C6F">
        <w:rPr>
          <w:sz w:val="20"/>
          <w:szCs w:val="20"/>
        </w:rPr>
        <w:t xml:space="preserve"> Paris, 1877, p. 7. </w:t>
      </w:r>
    </w:p>
  </w:footnote>
  <w:footnote w:id="32">
    <w:p w14:paraId="08A42D3D" w14:textId="69E740B1"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“Ninguno de los puestos que he tenido me le ha granjeado la atención de lo que soy. A todos he subido tan por sus escalones, que para ser maestro de campo serví́ dos campañas con una pica. El puesto de general de la caballería de Milán tampoco se dió al duque de Alburquerque, sino al maestro de campo más antiguo de todos los Tercios españoles. El cargo de general de la caballería de Flandes, me halló ya general de la de Milán” (</w:t>
      </w:r>
      <w:r w:rsidRPr="00650C6F">
        <w:rPr>
          <w:i/>
          <w:sz w:val="20"/>
          <w:szCs w:val="20"/>
        </w:rPr>
        <w:t>Memorial del duque de Alburquerque representando sus servicios y pretendiendo al virreinato de Nueva España, enviado a Felipe IV</w:t>
      </w:r>
      <w:r w:rsidRPr="00650C6F">
        <w:rPr>
          <w:sz w:val="20"/>
          <w:szCs w:val="20"/>
        </w:rPr>
        <w:t xml:space="preserve">, sin fecha (debe datar de a poco de su vuelta España, la última campaña que menciona es la de Rocroi), Archivo de la Casa de Alburquerque; Rodríguez Villa, “El Duque de Alburquerque en la Batalla de Rocroy…”, 1884, p. 339, 378). </w:t>
      </w:r>
    </w:p>
  </w:footnote>
  <w:footnote w:id="33">
    <w:p w14:paraId="591CE7D5" w14:textId="3A5A7FC8"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Rodríguez Villa, </w:t>
      </w:r>
      <w:r w:rsidRPr="00650C6F">
        <w:rPr>
          <w:i/>
          <w:sz w:val="20"/>
          <w:szCs w:val="20"/>
        </w:rPr>
        <w:t>ibídem,</w:t>
      </w:r>
      <w:r w:rsidRPr="00650C6F">
        <w:rPr>
          <w:sz w:val="20"/>
          <w:szCs w:val="20"/>
        </w:rPr>
        <w:t xml:space="preserve"> p. 337; Monlezun, </w:t>
      </w:r>
      <w:r w:rsidRPr="00650C6F">
        <w:rPr>
          <w:i/>
          <w:sz w:val="20"/>
          <w:szCs w:val="20"/>
        </w:rPr>
        <w:t xml:space="preserve">Bataille de Rocroi…, </w:t>
      </w:r>
      <w:r w:rsidRPr="00650C6F">
        <w:rPr>
          <w:sz w:val="20"/>
          <w:szCs w:val="20"/>
        </w:rPr>
        <w:t>1877, p. 7.</w:t>
      </w:r>
    </w:p>
  </w:footnote>
  <w:footnote w:id="34">
    <w:p w14:paraId="2E62CB3F" w14:textId="4FF8842F"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“lo que  hay  que  considerar  es la  forma  de  encaminarle  al servicio,  si  ha  de  ser  por  la  caballería  ó  por la  infantería” (</w:t>
      </w:r>
      <w:r w:rsidRPr="00650C6F">
        <w:rPr>
          <w:i/>
          <w:sz w:val="20"/>
          <w:szCs w:val="20"/>
        </w:rPr>
        <w:t>Consulta  original del  Consejo  de Estado, fecha  en  Madrid á 9 de Marzo de 1640, sobre  la  necesidad  de que se emplease  la Nobleza en el ejercicio de las armas</w:t>
      </w:r>
      <w:r w:rsidRPr="00650C6F">
        <w:rPr>
          <w:sz w:val="20"/>
          <w:szCs w:val="20"/>
        </w:rPr>
        <w:t xml:space="preserve">, en  Antonio Cánovas del Castillo, </w:t>
      </w:r>
      <w:r w:rsidRPr="00650C6F">
        <w:rPr>
          <w:i/>
          <w:sz w:val="20"/>
          <w:szCs w:val="20"/>
        </w:rPr>
        <w:t>Estudios del reinado de Felipe IV</w:t>
      </w:r>
      <w:r w:rsidRPr="00650C6F">
        <w:rPr>
          <w:sz w:val="20"/>
          <w:szCs w:val="20"/>
        </w:rPr>
        <w:t xml:space="preserve">, tomo II, Madrid, 1988, pp. 396-397 ; Fernando González de León, </w:t>
      </w:r>
      <w:r w:rsidRPr="00650C6F">
        <w:rPr>
          <w:i/>
          <w:sz w:val="20"/>
          <w:szCs w:val="20"/>
        </w:rPr>
        <w:t>The road to Rocroi, Class, Culture and Command in the Spanish Army of Flanders, 1567-1659</w:t>
      </w:r>
      <w:r w:rsidRPr="00650C6F">
        <w:rPr>
          <w:sz w:val="20"/>
          <w:szCs w:val="20"/>
        </w:rPr>
        <w:t xml:space="preserve">, History of Warfare 52; Leiden-Boston, 2009, p. 282). </w:t>
      </w:r>
    </w:p>
  </w:footnote>
  <w:footnote w:id="35">
    <w:p w14:paraId="2C8BB5C4" w14:textId="7750E1FA"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J. A. Vincart, </w:t>
      </w:r>
      <w:r w:rsidRPr="00650C6F">
        <w:rPr>
          <w:rFonts w:eastAsia="Times New Roman"/>
          <w:i/>
          <w:sz w:val="20"/>
          <w:szCs w:val="20"/>
        </w:rPr>
        <w:t>Relación de los sucesos de armas de S. M. Don Felipe IV, nuestro Señor, gobernadas por el Excmo. Sr. D. Francisco de Melo, marqués de Tordelaguna, conde de Assumar, del Consejo de Estado de S. M., Gobernador, Lugarteniente y Capitán General de los Estados de Flandes y de Borgoña, de la Campaña del año de 1643, dirigida à S. M. por Juan Antonio Vincart, Secretario de los Avisos Secretos de Guerra</w:t>
      </w:r>
      <w:r w:rsidRPr="00650C6F">
        <w:rPr>
          <w:rFonts w:eastAsia="Times New Roman"/>
          <w:sz w:val="20"/>
          <w:szCs w:val="20"/>
        </w:rPr>
        <w:t xml:space="preserve">, Colección de documentos inéditos para la Historia de España, tomo 75, Madrid, 1880, pp. 417-469. </w:t>
      </w:r>
    </w:p>
  </w:footnote>
  <w:footnote w:id="36">
    <w:p w14:paraId="386DF617" w14:textId="70D8B6AD"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Ibídem,</w:t>
      </w:r>
      <w:r w:rsidRPr="00650C6F">
        <w:rPr>
          <w:sz w:val="20"/>
          <w:szCs w:val="20"/>
        </w:rPr>
        <w:t xml:space="preserve"> p. 418. </w:t>
      </w:r>
    </w:p>
  </w:footnote>
  <w:footnote w:id="37">
    <w:p w14:paraId="0E2C44BF" w14:textId="103B655F"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H. d'Orléans, duque de Aumale, </w:t>
      </w:r>
      <w:r w:rsidRPr="00650C6F">
        <w:rPr>
          <w:rFonts w:eastAsia="Times New Roman"/>
          <w:i/>
          <w:sz w:val="20"/>
          <w:szCs w:val="20"/>
        </w:rPr>
        <w:t>Histoire des princes de Condé pendant le XVI</w:t>
      </w:r>
      <w:r w:rsidRPr="00650C6F">
        <w:rPr>
          <w:rFonts w:eastAsia="Times New Roman"/>
          <w:i/>
          <w:sz w:val="20"/>
          <w:szCs w:val="20"/>
          <w:vertAlign w:val="superscript"/>
        </w:rPr>
        <w:t>e</w:t>
      </w:r>
      <w:r w:rsidRPr="00650C6F">
        <w:rPr>
          <w:rFonts w:eastAsia="Times New Roman"/>
          <w:i/>
          <w:sz w:val="20"/>
          <w:szCs w:val="20"/>
        </w:rPr>
        <w:t xml:space="preserve"> et XVII</w:t>
      </w:r>
      <w:r w:rsidRPr="00650C6F">
        <w:rPr>
          <w:rFonts w:eastAsia="Times New Roman"/>
          <w:i/>
          <w:sz w:val="20"/>
          <w:szCs w:val="20"/>
          <w:vertAlign w:val="superscript"/>
        </w:rPr>
        <w:t>e</w:t>
      </w:r>
      <w:r w:rsidRPr="00650C6F">
        <w:rPr>
          <w:rFonts w:eastAsia="Times New Roman"/>
          <w:i/>
          <w:sz w:val="20"/>
          <w:szCs w:val="20"/>
        </w:rPr>
        <w:t xml:space="preserve"> siècles</w:t>
      </w:r>
      <w:r w:rsidRPr="00650C6F">
        <w:rPr>
          <w:rFonts w:eastAsia="Times New Roman"/>
          <w:sz w:val="20"/>
          <w:szCs w:val="20"/>
        </w:rPr>
        <w:t>, t. IV, Paris, 1886,</w:t>
      </w:r>
      <w:r w:rsidRPr="00650C6F">
        <w:rPr>
          <w:sz w:val="20"/>
          <w:szCs w:val="20"/>
        </w:rPr>
        <w:t xml:space="preserve"> p. 52. </w:t>
      </w:r>
    </w:p>
  </w:footnote>
  <w:footnote w:id="38">
    <w:p w14:paraId="1668167B" w14:textId="3FD07928"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Vincart, </w:t>
      </w:r>
      <w:r w:rsidRPr="00650C6F">
        <w:rPr>
          <w:rFonts w:eastAsia="Times New Roman"/>
          <w:i/>
          <w:sz w:val="20"/>
          <w:szCs w:val="20"/>
        </w:rPr>
        <w:t>Relación… de 1643…</w:t>
      </w:r>
      <w:r w:rsidRPr="00650C6F">
        <w:rPr>
          <w:rFonts w:eastAsia="Times New Roman"/>
          <w:sz w:val="20"/>
          <w:szCs w:val="20"/>
        </w:rPr>
        <w:t xml:space="preserve">, 1880, </w:t>
      </w:r>
      <w:r w:rsidRPr="00650C6F">
        <w:rPr>
          <w:sz w:val="20"/>
          <w:szCs w:val="20"/>
        </w:rPr>
        <w:t xml:space="preserve">p. 420. </w:t>
      </w:r>
    </w:p>
  </w:footnote>
  <w:footnote w:id="39">
    <w:p w14:paraId="55BE01CF" w14:textId="72B56D41"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Aumale tacha la medida de inexplicable y apunta al desánimo que provocó en las tropas (Aumale, </w:t>
      </w:r>
      <w:r w:rsidRPr="00650C6F">
        <w:rPr>
          <w:rFonts w:eastAsia="Times New Roman"/>
          <w:i/>
          <w:sz w:val="20"/>
          <w:szCs w:val="20"/>
        </w:rPr>
        <w:t>Histoire des princes…</w:t>
      </w:r>
      <w:r w:rsidRPr="00650C6F">
        <w:rPr>
          <w:sz w:val="20"/>
          <w:szCs w:val="20"/>
        </w:rPr>
        <w:t>, 1886, p. 53).</w:t>
      </w:r>
    </w:p>
  </w:footnote>
  <w:footnote w:id="40">
    <w:p w14:paraId="1B90533F" w14:textId="58523A11"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 ..una de las cosas que mas ha exasperado los ánimos de esta gente, y ha perdido la buena voluntad que mostraban a D. Francisco (de Melo), ha sido ver el puesto de la caballería en manos del Duque de Alburquerque, cuya elección atribuyen à diligencias suyas por fines de propia conveniencia, en que hasta ahora no hallo ningún fundamento, pero el pueblo difícilmente retrocederá este sentir” (“</w:t>
      </w:r>
      <w:r w:rsidRPr="00650C6F">
        <w:rPr>
          <w:rFonts w:eastAsia="Times New Roman"/>
          <w:sz w:val="20"/>
          <w:szCs w:val="20"/>
        </w:rPr>
        <w:t xml:space="preserve">Carta de Francisco de Galarreta al Secretario Andrés de Rozas, fecha en Bruselas el 19 de Agosto de 1643”, en </w:t>
      </w:r>
      <w:r w:rsidRPr="00650C6F">
        <w:rPr>
          <w:rFonts w:eastAsia="Times New Roman"/>
          <w:i/>
          <w:sz w:val="20"/>
          <w:szCs w:val="20"/>
        </w:rPr>
        <w:t>Colección de Documentos inéditos para la Historia de España</w:t>
      </w:r>
      <w:r w:rsidRPr="00650C6F">
        <w:rPr>
          <w:rFonts w:eastAsia="Times New Roman"/>
          <w:sz w:val="20"/>
          <w:szCs w:val="20"/>
        </w:rPr>
        <w:t>, t. LIX</w:t>
      </w:r>
      <w:r w:rsidRPr="00650C6F">
        <w:rPr>
          <w:sz w:val="20"/>
          <w:szCs w:val="20"/>
        </w:rPr>
        <w:t xml:space="preserve">, Madrid, 1873, p. 259, Gachard, </w:t>
      </w:r>
      <w:r w:rsidRPr="00650C6F">
        <w:rPr>
          <w:i/>
          <w:sz w:val="20"/>
          <w:szCs w:val="20"/>
        </w:rPr>
        <w:t>Les bibliothèques…,</w:t>
      </w:r>
      <w:r w:rsidRPr="00650C6F">
        <w:rPr>
          <w:sz w:val="20"/>
          <w:szCs w:val="20"/>
        </w:rPr>
        <w:t xml:space="preserve"> 1875,pp. 500-502). </w:t>
      </w:r>
    </w:p>
  </w:footnote>
  <w:footnote w:id="41">
    <w:p w14:paraId="77ABB210" w14:textId="34B671A1"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Inscrito en la cartela “CAROLVS ALBERTUS DE LONGVEVAL COMES DE BVQVOY / ET DE GRATZEN, BARO DE VAVX ET DE / ROSENBERGHE COMIT : HANNONIAE GVBERNATOR”. Abajo, a la izquierda : “Charles Wautier pinxcit”, y a la derecha : “P. de Iode sculp”.  Amsterdam, Rijksmuseum, RP-P-1937-843. Incluido en De Jode, </w:t>
      </w:r>
      <w:r w:rsidRPr="00650C6F">
        <w:rPr>
          <w:i/>
          <w:sz w:val="20"/>
          <w:szCs w:val="20"/>
        </w:rPr>
        <w:t>Theatrum pontificum…</w:t>
      </w:r>
      <w:r w:rsidRPr="00650C6F">
        <w:rPr>
          <w:sz w:val="20"/>
          <w:szCs w:val="20"/>
        </w:rPr>
        <w:t xml:space="preserve">, 1651; Hollstein, </w:t>
      </w:r>
      <w:r w:rsidRPr="00650C6F">
        <w:rPr>
          <w:i/>
          <w:sz w:val="20"/>
          <w:szCs w:val="20"/>
        </w:rPr>
        <w:t>Dutch &amp; Flemish…</w:t>
      </w:r>
      <w:r w:rsidRPr="00650C6F">
        <w:rPr>
          <w:sz w:val="20"/>
          <w:szCs w:val="20"/>
        </w:rPr>
        <w:t xml:space="preserve">, IX, p. 217 ; Kairis, en cat.exp. Amberes 2018, p. 268, cat. 31. </w:t>
      </w:r>
    </w:p>
  </w:footnote>
  <w:footnote w:id="42">
    <w:p w14:paraId="172C4808" w14:textId="3BF041F2" w:rsidR="00650C6F" w:rsidRPr="00650C6F" w:rsidRDefault="00650C6F" w:rsidP="00650C6F">
      <w:pPr>
        <w:widowControl w:val="0"/>
        <w:autoSpaceDE w:val="0"/>
        <w:autoSpaceDN w:val="0"/>
        <w:adjustRightInd w:val="0"/>
        <w:spacing w:after="240"/>
        <w:jc w:val="both"/>
        <w:rPr>
          <w:sz w:val="20"/>
          <w:szCs w:val="20"/>
        </w:rPr>
      </w:pPr>
      <w:r w:rsidRPr="00650C6F">
        <w:rPr>
          <w:rStyle w:val="Marquenotebasdepage"/>
          <w:sz w:val="20"/>
          <w:szCs w:val="20"/>
        </w:rPr>
        <w:footnoteRef/>
      </w:r>
      <w:r w:rsidRPr="00650C6F">
        <w:rPr>
          <w:sz w:val="20"/>
          <w:szCs w:val="20"/>
        </w:rPr>
        <w:t xml:space="preserve"> Se ha señalado un cierto número de retratos del Castillo de Beloeil,  con importantes personajes de la élite militar : </w:t>
      </w:r>
      <w:r w:rsidRPr="00650C6F">
        <w:rPr>
          <w:i/>
          <w:sz w:val="20"/>
          <w:szCs w:val="20"/>
        </w:rPr>
        <w:t xml:space="preserve">Conde Ferdinand-Gaston Lamoral de Croÿ et du Roeulx </w:t>
      </w:r>
      <w:r w:rsidRPr="00650C6F">
        <w:rPr>
          <w:sz w:val="20"/>
          <w:szCs w:val="20"/>
        </w:rPr>
        <w:t xml:space="preserve">(lienzo, 103 × 85 cm. Cliché kik-irpa: b189948) ; </w:t>
      </w:r>
      <w:r w:rsidRPr="00650C6F">
        <w:rPr>
          <w:i/>
          <w:sz w:val="20"/>
          <w:szCs w:val="20"/>
        </w:rPr>
        <w:t>Jean Charles de Watteville, Marqués de Conflans y Conde de Bussoleno</w:t>
      </w:r>
      <w:r w:rsidRPr="00650C6F">
        <w:rPr>
          <w:sz w:val="20"/>
          <w:szCs w:val="20"/>
        </w:rPr>
        <w:t xml:space="preserve"> </w:t>
      </w:r>
      <w:r w:rsidRPr="00650C6F">
        <w:rPr>
          <w:rFonts w:cs="Times Roman"/>
          <w:color w:val="000000"/>
          <w:sz w:val="20"/>
          <w:szCs w:val="20"/>
        </w:rPr>
        <w:t xml:space="preserve">(lienzo, 118 </w:t>
      </w:r>
      <w:r w:rsidRPr="00650C6F">
        <w:rPr>
          <w:rFonts w:cs="Times Roman"/>
          <w:color w:val="000000"/>
          <w:position w:val="-3"/>
          <w:sz w:val="20"/>
          <w:szCs w:val="20"/>
        </w:rPr>
        <w:t xml:space="preserve">× </w:t>
      </w:r>
      <w:r w:rsidRPr="00650C6F">
        <w:rPr>
          <w:rFonts w:cs="Times Roman"/>
          <w:color w:val="000000"/>
          <w:sz w:val="20"/>
          <w:szCs w:val="20"/>
        </w:rPr>
        <w:t xml:space="preserve">92 cm. Cliché kik-irpa b189950) ; </w:t>
      </w:r>
      <w:r w:rsidRPr="00650C6F">
        <w:rPr>
          <w:rFonts w:cs="Times Roman"/>
          <w:i/>
          <w:color w:val="000000"/>
          <w:sz w:val="20"/>
          <w:szCs w:val="20"/>
        </w:rPr>
        <w:t>Eugène de Berghes, conde de Grimberghen</w:t>
      </w:r>
      <w:r w:rsidRPr="00650C6F">
        <w:rPr>
          <w:rFonts w:cs="Times Roman"/>
          <w:color w:val="000000"/>
          <w:sz w:val="20"/>
          <w:szCs w:val="20"/>
        </w:rPr>
        <w:t xml:space="preserve"> (lienzo, 111 × 89 cm. Cliché kik-irpa b189935) ; </w:t>
      </w:r>
      <w:r w:rsidRPr="00650C6F">
        <w:rPr>
          <w:rFonts w:cs="Times Roman"/>
          <w:i/>
          <w:color w:val="000000"/>
          <w:sz w:val="20"/>
          <w:szCs w:val="20"/>
        </w:rPr>
        <w:t>Ferdinando Carlo Gonzaga, Duque de Mantua y Montserrat</w:t>
      </w:r>
      <w:r w:rsidRPr="00650C6F">
        <w:rPr>
          <w:rFonts w:cs="Times Roman"/>
          <w:color w:val="000000"/>
          <w:sz w:val="20"/>
          <w:szCs w:val="20"/>
        </w:rPr>
        <w:t xml:space="preserve"> (Lienzo, 120 × 91 cm. Cliché kik-irpa b189932) ; Sanzsalazar, “The influence of Others… “, 2018, p. 82, notas 29, 30. </w:t>
      </w:r>
    </w:p>
  </w:footnote>
  <w:footnote w:id="43">
    <w:p w14:paraId="40D5B098" w14:textId="77777777"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Las quejas de Cantelmo figuran en carta de Melo del 15 de abril de 1642 : Valladolid, Archivo General de Simancas (E 2259, CCE 23-5-1943), y de Felipe IV a Melo, 5-7-1943 (AGS E 2250) ; citado por González de León, </w:t>
      </w:r>
      <w:r w:rsidRPr="00650C6F">
        <w:rPr>
          <w:i/>
          <w:sz w:val="20"/>
          <w:szCs w:val="20"/>
        </w:rPr>
        <w:t>The Road to Rocroi…</w:t>
      </w:r>
      <w:r w:rsidRPr="00650C6F">
        <w:rPr>
          <w:sz w:val="20"/>
          <w:szCs w:val="20"/>
        </w:rPr>
        <w:t>, 2009, p. 283, nota 15.  </w:t>
      </w:r>
    </w:p>
  </w:footnote>
  <w:footnote w:id="44">
    <w:p w14:paraId="0476EC32" w14:textId="1C49541B"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rFonts w:eastAsia="Times New Roman"/>
          <w:sz w:val="20"/>
          <w:szCs w:val="20"/>
        </w:rPr>
        <w:t xml:space="preserve">Carta de Francisco de Galarreta  de 1643…”, 1873, p. 260. </w:t>
      </w:r>
    </w:p>
  </w:footnote>
  <w:footnote w:id="45">
    <w:p w14:paraId="1FA9F512" w14:textId="41370EED"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Ibídem,</w:t>
      </w:r>
      <w:r w:rsidRPr="00650C6F">
        <w:rPr>
          <w:sz w:val="20"/>
          <w:szCs w:val="20"/>
        </w:rPr>
        <w:t xml:space="preserve"> </w:t>
      </w:r>
      <w:r w:rsidRPr="00650C6F">
        <w:rPr>
          <w:rFonts w:eastAsia="Times New Roman"/>
          <w:sz w:val="20"/>
          <w:szCs w:val="20"/>
        </w:rPr>
        <w:t xml:space="preserve">p. 260. </w:t>
      </w:r>
    </w:p>
  </w:footnote>
  <w:footnote w:id="46">
    <w:p w14:paraId="4CFBC7C3" w14:textId="2D29DAE5"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Vincart, </w:t>
      </w:r>
      <w:r w:rsidRPr="00650C6F">
        <w:rPr>
          <w:rFonts w:eastAsia="Times New Roman"/>
          <w:i/>
          <w:sz w:val="20"/>
          <w:szCs w:val="20"/>
        </w:rPr>
        <w:t>Relación… de 1643…</w:t>
      </w:r>
      <w:r w:rsidRPr="00650C6F">
        <w:rPr>
          <w:rFonts w:eastAsia="Times New Roman"/>
          <w:sz w:val="20"/>
          <w:szCs w:val="20"/>
        </w:rPr>
        <w:t xml:space="preserve">, 1880, </w:t>
      </w:r>
      <w:r w:rsidRPr="00650C6F">
        <w:rPr>
          <w:sz w:val="20"/>
          <w:szCs w:val="20"/>
        </w:rPr>
        <w:t xml:space="preserve">p. 421; Aumale, </w:t>
      </w:r>
      <w:r w:rsidRPr="00650C6F">
        <w:rPr>
          <w:rFonts w:eastAsia="Times New Roman"/>
          <w:i/>
          <w:sz w:val="20"/>
          <w:szCs w:val="20"/>
        </w:rPr>
        <w:t>Histoire des princes…</w:t>
      </w:r>
      <w:r w:rsidRPr="00650C6F">
        <w:rPr>
          <w:sz w:val="20"/>
          <w:szCs w:val="20"/>
        </w:rPr>
        <w:t xml:space="preserve">, 1886, p. 50. </w:t>
      </w:r>
    </w:p>
  </w:footnote>
  <w:footnote w:id="47">
    <w:p w14:paraId="4D2DA8F8" w14:textId="335CAFAC"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Vincart, </w:t>
      </w:r>
      <w:r w:rsidRPr="00650C6F">
        <w:rPr>
          <w:rFonts w:eastAsia="Times New Roman"/>
          <w:i/>
          <w:sz w:val="20"/>
          <w:szCs w:val="20"/>
        </w:rPr>
        <w:t>Relación… de 1643…</w:t>
      </w:r>
      <w:r w:rsidRPr="00650C6F">
        <w:rPr>
          <w:rFonts w:eastAsia="Times New Roman"/>
          <w:sz w:val="20"/>
          <w:szCs w:val="20"/>
        </w:rPr>
        <w:t xml:space="preserve">, 1880, </w:t>
      </w:r>
      <w:r w:rsidRPr="00650C6F">
        <w:rPr>
          <w:sz w:val="20"/>
          <w:szCs w:val="20"/>
        </w:rPr>
        <w:t xml:space="preserve">p. 425. </w:t>
      </w:r>
    </w:p>
  </w:footnote>
  <w:footnote w:id="48">
    <w:p w14:paraId="6E094719" w14:textId="77777777"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Ibídem,</w:t>
      </w:r>
      <w:r w:rsidRPr="00650C6F">
        <w:rPr>
          <w:sz w:val="20"/>
          <w:szCs w:val="20"/>
        </w:rPr>
        <w:t xml:space="preserve"> p. 426. </w:t>
      </w:r>
    </w:p>
  </w:footnote>
  <w:footnote w:id="49">
    <w:p w14:paraId="0FFFE50B" w14:textId="77777777"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Ibídem,</w:t>
      </w:r>
      <w:r w:rsidRPr="00650C6F">
        <w:rPr>
          <w:sz w:val="20"/>
          <w:szCs w:val="20"/>
        </w:rPr>
        <w:t xml:space="preserve"> p. 430. </w:t>
      </w:r>
    </w:p>
  </w:footnote>
  <w:footnote w:id="50">
    <w:p w14:paraId="670291E3" w14:textId="77777777"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Ibídem,</w:t>
      </w:r>
      <w:r w:rsidRPr="00650C6F">
        <w:rPr>
          <w:sz w:val="20"/>
          <w:szCs w:val="20"/>
        </w:rPr>
        <w:t xml:space="preserve"> p. 434. </w:t>
      </w:r>
    </w:p>
  </w:footnote>
  <w:footnote w:id="51">
    <w:p w14:paraId="68A3A8D3" w14:textId="77777777"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Ibídem,</w:t>
      </w:r>
      <w:r w:rsidRPr="00650C6F">
        <w:rPr>
          <w:sz w:val="20"/>
          <w:szCs w:val="20"/>
        </w:rPr>
        <w:t xml:space="preserve">  p. 435. </w:t>
      </w:r>
    </w:p>
  </w:footnote>
  <w:footnote w:id="52">
    <w:p w14:paraId="69908E0D" w14:textId="77777777"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Ibídem,</w:t>
      </w:r>
      <w:r w:rsidRPr="00650C6F">
        <w:rPr>
          <w:sz w:val="20"/>
          <w:szCs w:val="20"/>
        </w:rPr>
        <w:t xml:space="preserve">  p. 438; Rodríguez Villa, “El Duque de Alburquerque en la Batalla de Rocroy…”, 1884, p. 343. </w:t>
      </w:r>
    </w:p>
  </w:footnote>
  <w:footnote w:id="53">
    <w:p w14:paraId="69A67C09" w14:textId="032507FF"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Vincart, </w:t>
      </w:r>
      <w:r w:rsidRPr="00650C6F">
        <w:rPr>
          <w:rFonts w:eastAsia="Times New Roman"/>
          <w:i/>
          <w:sz w:val="20"/>
          <w:szCs w:val="20"/>
        </w:rPr>
        <w:t>Relación… de 1643…</w:t>
      </w:r>
      <w:r w:rsidRPr="00650C6F">
        <w:rPr>
          <w:rFonts w:eastAsia="Times New Roman"/>
          <w:sz w:val="20"/>
          <w:szCs w:val="20"/>
        </w:rPr>
        <w:t xml:space="preserve">, 1880, </w:t>
      </w:r>
      <w:r w:rsidRPr="00650C6F">
        <w:rPr>
          <w:sz w:val="20"/>
          <w:szCs w:val="20"/>
        </w:rPr>
        <w:t xml:space="preserve">p. 438. </w:t>
      </w:r>
    </w:p>
  </w:footnote>
  <w:footnote w:id="54">
    <w:p w14:paraId="362E680E" w14:textId="11C3F26C"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“Albuquerque, entraîné par les fuyards, arrivait à Philippeville [32 km de Rocroy] dès huit heures du matin. ‘Il a dû partir de bonne heure et aller vite’, ajoutait Fabert en donnant ce renseignement à Mazarin” (Aumale, “La première campagne de Condé”, </w:t>
      </w:r>
      <w:r w:rsidRPr="00650C6F">
        <w:rPr>
          <w:i/>
          <w:sz w:val="20"/>
          <w:szCs w:val="20"/>
        </w:rPr>
        <w:t>Revue des Deux Mondes</w:t>
      </w:r>
      <w:r w:rsidRPr="00650C6F">
        <w:rPr>
          <w:sz w:val="20"/>
          <w:szCs w:val="20"/>
        </w:rPr>
        <w:t xml:space="preserve">, 3eme période, tome 56, 1883, p. 735, nota 22). </w:t>
      </w:r>
    </w:p>
  </w:footnote>
  <w:footnote w:id="55">
    <w:p w14:paraId="6DCF2574" w14:textId="648D4C04"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Rodríguez Villa, “El Duque de Alburquerque en la Batalla de Rocroy…”, 1884, p. 333. </w:t>
      </w:r>
    </w:p>
  </w:footnote>
  <w:footnote w:id="56">
    <w:p w14:paraId="2D9A1089" w14:textId="67BD2F09"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rFonts w:eastAsia="Times New Roman"/>
          <w:sz w:val="20"/>
          <w:szCs w:val="20"/>
        </w:rPr>
        <w:t xml:space="preserve">F. Dávila Orejón Gastón, </w:t>
      </w:r>
      <w:r w:rsidRPr="00650C6F">
        <w:rPr>
          <w:rFonts w:eastAsia="Times New Roman"/>
          <w:i/>
          <w:sz w:val="20"/>
          <w:szCs w:val="20"/>
        </w:rPr>
        <w:t>Política y mecánica militar para sargento mayor de Tercio</w:t>
      </w:r>
      <w:r w:rsidRPr="00650C6F">
        <w:rPr>
          <w:rFonts w:eastAsia="Times New Roman"/>
          <w:sz w:val="20"/>
          <w:szCs w:val="20"/>
        </w:rPr>
        <w:t xml:space="preserve">…, Madrid, 1669, p. 188. </w:t>
      </w:r>
    </w:p>
  </w:footnote>
  <w:footnote w:id="57">
    <w:p w14:paraId="03FDA47A" w14:textId="430CA0FD"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Ibidem</w:t>
      </w:r>
      <w:r w:rsidRPr="00650C6F">
        <w:rPr>
          <w:sz w:val="20"/>
          <w:szCs w:val="20"/>
        </w:rPr>
        <w:t xml:space="preserve">, </w:t>
      </w:r>
      <w:r w:rsidRPr="00650C6F">
        <w:rPr>
          <w:rFonts w:eastAsia="Times New Roman"/>
          <w:sz w:val="20"/>
          <w:szCs w:val="20"/>
        </w:rPr>
        <w:t xml:space="preserve">p. 97. </w:t>
      </w:r>
    </w:p>
  </w:footnote>
  <w:footnote w:id="58">
    <w:p w14:paraId="02A53E0A" w14:textId="183CBE9C"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“Nous croyons avoir rendu à l’armée espagnole de Rocroy et à ses chefs une éclatante justice ; nous en avons parlé, non seulement avec respect, mais avec admiration” (Aumale, </w:t>
      </w:r>
      <w:r w:rsidRPr="00650C6F">
        <w:rPr>
          <w:rFonts w:eastAsia="Times New Roman"/>
          <w:i/>
          <w:sz w:val="20"/>
          <w:szCs w:val="20"/>
        </w:rPr>
        <w:t>Histoire des princes…</w:t>
      </w:r>
      <w:r w:rsidRPr="00650C6F">
        <w:rPr>
          <w:sz w:val="20"/>
          <w:szCs w:val="20"/>
        </w:rPr>
        <w:t xml:space="preserve">, 1886, p. 508). </w:t>
      </w:r>
    </w:p>
  </w:footnote>
  <w:footnote w:id="59">
    <w:p w14:paraId="7CE6C71B" w14:textId="4458797D"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Carta envivada por Fabert, desde Sedan, el 31 de mayo de 1643, con Memoria de la que dice: “l’on m’a assuré estre véritable”, dando cuenta de la Infantería que escapó del combate de Rocroy, siendo después apresados y conducidos à Philippeville,: “Le Duc d’Alburquerque, général de cavalerie, arrive à Philippeville avant huit heures du matin ; pour cela il fallut partir de bonne heure et aller viste” (Aumale, </w:t>
      </w:r>
      <w:r w:rsidRPr="00650C6F">
        <w:rPr>
          <w:rFonts w:eastAsia="Times New Roman"/>
          <w:i/>
          <w:sz w:val="20"/>
          <w:szCs w:val="20"/>
        </w:rPr>
        <w:t xml:space="preserve">Histoire des princes…, </w:t>
      </w:r>
      <w:r w:rsidRPr="00650C6F">
        <w:rPr>
          <w:rFonts w:eastAsia="Times New Roman"/>
          <w:sz w:val="20"/>
          <w:szCs w:val="20"/>
        </w:rPr>
        <w:t xml:space="preserve">1886, pp. 506-508). </w:t>
      </w:r>
    </w:p>
  </w:footnote>
  <w:footnote w:id="60">
    <w:p w14:paraId="16F54DC1" w14:textId="0A8B51C8"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Papel, 418 x 432 mm. Fechado en 1643. Se atribuye a Salomon de Bray. Amsterdam, Rijsmuseum, inv. RP-P-OB-81.522. En red :</w:t>
      </w:r>
      <w:r w:rsidRPr="00650C6F">
        <w:rPr>
          <w:rFonts w:eastAsia="Times New Roman"/>
          <w:sz w:val="20"/>
          <w:szCs w:val="20"/>
        </w:rPr>
        <w:t xml:space="preserve"> </w:t>
      </w:r>
      <w:hyperlink r:id="rId1" w:history="1">
        <w:r w:rsidRPr="00650C6F">
          <w:rPr>
            <w:rStyle w:val="Lienhypertexte"/>
            <w:rFonts w:eastAsia="Times New Roman"/>
            <w:sz w:val="20"/>
            <w:szCs w:val="20"/>
          </w:rPr>
          <w:t>http://hdl.handle.net/10934/RM0001.COLLECT.462527</w:t>
        </w:r>
      </w:hyperlink>
      <w:r w:rsidRPr="00650C6F">
        <w:rPr>
          <w:rFonts w:eastAsia="Times New Roman"/>
          <w:sz w:val="20"/>
          <w:szCs w:val="20"/>
        </w:rPr>
        <w:t xml:space="preserve"> (consultada 14.05.2019).</w:t>
      </w:r>
    </w:p>
  </w:footnote>
  <w:footnote w:id="61">
    <w:p w14:paraId="07A81EA7" w14:textId="3CC8DDAB"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rFonts w:eastAsia="Times New Roman"/>
          <w:i/>
          <w:sz w:val="20"/>
          <w:szCs w:val="20"/>
        </w:rPr>
        <w:t>Representación</w:t>
      </w:r>
      <w:r w:rsidRPr="00650C6F">
        <w:rPr>
          <w:rFonts w:eastAsia="Times New Roman"/>
          <w:sz w:val="20"/>
          <w:szCs w:val="20"/>
        </w:rPr>
        <w:t xml:space="preserve">, original en el archivo de Alburquerque, citada por </w:t>
      </w:r>
      <w:r w:rsidRPr="00650C6F">
        <w:rPr>
          <w:sz w:val="20"/>
          <w:szCs w:val="20"/>
        </w:rPr>
        <w:t>Rodríguez Villa, “El Duque de Alburquerque en la Batalla de Rocroy…”, 1884</w:t>
      </w:r>
      <w:r w:rsidRPr="00650C6F">
        <w:rPr>
          <w:rFonts w:eastAsia="Times New Roman"/>
          <w:sz w:val="20"/>
          <w:szCs w:val="20"/>
        </w:rPr>
        <w:t xml:space="preserve">, p. 345. </w:t>
      </w:r>
    </w:p>
  </w:footnote>
  <w:footnote w:id="62">
    <w:p w14:paraId="5145E81A" w14:textId="01AFE8B1" w:rsidR="00650C6F" w:rsidRPr="00650C6F" w:rsidRDefault="00650C6F" w:rsidP="00650C6F">
      <w:pPr>
        <w:jc w:val="both"/>
        <w:rPr>
          <w:rFonts w:eastAsia="Times New Roman"/>
          <w:sz w:val="20"/>
          <w:szCs w:val="20"/>
        </w:rPr>
      </w:pPr>
      <w:r w:rsidRPr="00650C6F">
        <w:rPr>
          <w:rStyle w:val="Marquenotebasdepage"/>
          <w:sz w:val="20"/>
          <w:szCs w:val="20"/>
        </w:rPr>
        <w:footnoteRef/>
      </w:r>
      <w:r w:rsidRPr="00650C6F">
        <w:rPr>
          <w:sz w:val="20"/>
          <w:szCs w:val="20"/>
        </w:rPr>
        <w:t xml:space="preserve"> Vincart, </w:t>
      </w:r>
      <w:r w:rsidRPr="00650C6F">
        <w:rPr>
          <w:rFonts w:eastAsia="Times New Roman"/>
          <w:i/>
          <w:sz w:val="20"/>
          <w:szCs w:val="20"/>
        </w:rPr>
        <w:t>Relación… de 1643…</w:t>
      </w:r>
      <w:r w:rsidRPr="00650C6F">
        <w:rPr>
          <w:rFonts w:eastAsia="Times New Roman"/>
          <w:sz w:val="20"/>
          <w:szCs w:val="20"/>
        </w:rPr>
        <w:t>, 1880, p. 444.</w:t>
      </w:r>
    </w:p>
  </w:footnote>
  <w:footnote w:id="63">
    <w:p w14:paraId="4165709B" w14:textId="7A2A2CE8"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La decisión de sustituir a Bucquoy por Alburquerque al mando de la caballería se vio como causa de la derrota (Johan Van den Sande, </w:t>
      </w:r>
      <w:r w:rsidRPr="00650C6F">
        <w:rPr>
          <w:i/>
          <w:sz w:val="20"/>
          <w:szCs w:val="20"/>
        </w:rPr>
        <w:t>Belgicarum historiarum epitome : quâ initium, progressus &amp; exitus motuum atque discordiarum lucidè demonstrantur, ab anno 1566 ad 1648</w:t>
      </w:r>
      <w:r w:rsidRPr="00650C6F">
        <w:rPr>
          <w:sz w:val="20"/>
          <w:szCs w:val="20"/>
        </w:rPr>
        <w:t xml:space="preserve">, Ultrajecti : apud Joannem à Waesberge, 1652, p. 358). </w:t>
      </w:r>
    </w:p>
  </w:footnote>
  <w:footnote w:id="64">
    <w:p w14:paraId="097FA3CC" w14:textId="4B34EED5"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“Le bruit court ici que les Espagnols ont assassiné le Comte de Bucquoy, pour s’estre moqué du Duc d’Alburquerque, de ce qu’il lui avoit osté la charge de Général de la cavallerie Espagnole, pour s’enaquiter si mal qu’il avoit fait. Le mesme bruit ajouste que les amis du Comte de Bucquoy pour vanger sa mort, ont aussi tué le Duc d’Alburquerque” (en Carta desde Guise, el 25 de Mayo de 1643, T. Renaudot, </w:t>
      </w:r>
      <w:r w:rsidRPr="00650C6F">
        <w:rPr>
          <w:i/>
          <w:sz w:val="20"/>
          <w:szCs w:val="20"/>
        </w:rPr>
        <w:t xml:space="preserve">Recueil des gazettes et nouvelles…, </w:t>
      </w:r>
      <w:r w:rsidRPr="00650C6F">
        <w:rPr>
          <w:sz w:val="20"/>
          <w:szCs w:val="20"/>
        </w:rPr>
        <w:t xml:space="preserve">PARIS, 1643, p. 450). </w:t>
      </w:r>
    </w:p>
  </w:footnote>
  <w:footnote w:id="65">
    <w:p w14:paraId="0D471F0A" w14:textId="73A80D1E"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 … </w:t>
      </w:r>
      <w:r w:rsidRPr="00650C6F">
        <w:rPr>
          <w:rFonts w:eastAsia="Times New Roman"/>
          <w:sz w:val="20"/>
          <w:szCs w:val="20"/>
        </w:rPr>
        <w:t xml:space="preserve">y el hallarse desordenados y cebados en el saco y despojo de los que habían vencido: cosa fea, pero vista infinitas veces” (“Capítulos de una carta de 3 de Julio de 1643, de lo mas nuevo que ha habido en la villa de Madrid y Cuidad-Real”, en </w:t>
      </w:r>
      <w:r w:rsidRPr="00650C6F">
        <w:rPr>
          <w:rFonts w:eastAsia="Times New Roman"/>
          <w:i/>
          <w:sz w:val="20"/>
          <w:szCs w:val="20"/>
        </w:rPr>
        <w:t>Memorial histórico español…</w:t>
      </w:r>
      <w:r w:rsidRPr="00650C6F">
        <w:rPr>
          <w:rFonts w:eastAsia="Times New Roman"/>
          <w:sz w:val="20"/>
          <w:szCs w:val="20"/>
        </w:rPr>
        <w:t xml:space="preserve">, Tomo XVII, Madrid, 1863, p. 144 (143-145); </w:t>
      </w:r>
      <w:r w:rsidRPr="00650C6F">
        <w:rPr>
          <w:sz w:val="20"/>
          <w:szCs w:val="20"/>
        </w:rPr>
        <w:t xml:space="preserve">Rodríguez Villa, “El Duque de Alburquerque en la Batalla de Rocroy…”, 1884, </w:t>
      </w:r>
      <w:r w:rsidRPr="00650C6F">
        <w:rPr>
          <w:rFonts w:eastAsia="Times New Roman"/>
          <w:sz w:val="20"/>
          <w:szCs w:val="20"/>
        </w:rPr>
        <w:t>p. 346.</w:t>
      </w:r>
    </w:p>
  </w:footnote>
  <w:footnote w:id="66">
    <w:p w14:paraId="1AE3D232" w14:textId="5AA4E26A"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“Carta de Felipe IV al duque de Alburquerque, de Madrid, a 30 de julio de 1643”, Archivo de Alburquerque, archivo del Sr. Marqués de Alcañices; Rodríguez Villa, “El Duque de Alburquerque en la Batalla de Rocroy…”, 1884, p. 346. </w:t>
      </w:r>
    </w:p>
  </w:footnote>
  <w:footnote w:id="67">
    <w:p w14:paraId="77F38FA8" w14:textId="2C315F9A"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“suplico a V.S. procure sacar copia de la carta que e S</w:t>
      </w:r>
      <w:r w:rsidRPr="00650C6F">
        <w:rPr>
          <w:sz w:val="20"/>
          <w:szCs w:val="20"/>
          <w:vertAlign w:val="superscript"/>
        </w:rPr>
        <w:t>r</w:t>
      </w:r>
      <w:r w:rsidRPr="00650C6F">
        <w:rPr>
          <w:sz w:val="20"/>
          <w:szCs w:val="20"/>
        </w:rPr>
        <w:t xml:space="preserve"> Don Francisco escribe a su Mag</w:t>
      </w:r>
      <w:r w:rsidRPr="00650C6F">
        <w:rPr>
          <w:sz w:val="20"/>
          <w:szCs w:val="20"/>
          <w:vertAlign w:val="superscript"/>
        </w:rPr>
        <w:t>d</w:t>
      </w:r>
      <w:r w:rsidRPr="00650C6F">
        <w:rPr>
          <w:sz w:val="20"/>
          <w:szCs w:val="20"/>
        </w:rPr>
        <w:t xml:space="preserve"> o saber lo que ai de cierto, que yo escribo al rey y VS. me haga merced de enseñar esta a todos, que sepan la verdad” (</w:t>
      </w:r>
      <w:r w:rsidRPr="00650C6F">
        <w:rPr>
          <w:rFonts w:eastAsia="Times New Roman"/>
          <w:sz w:val="20"/>
          <w:szCs w:val="20"/>
        </w:rPr>
        <w:t xml:space="preserve">Carta que Alburquerque envía desde Mons a Olivares el 15 de mayo de 1643, en A. Rodríguez Villa, “La Batalla de Rocroy”, </w:t>
      </w:r>
      <w:r w:rsidRPr="00650C6F">
        <w:rPr>
          <w:rFonts w:eastAsia="Times New Roman"/>
          <w:i/>
          <w:sz w:val="20"/>
          <w:szCs w:val="20"/>
        </w:rPr>
        <w:t>Boletín de la Real Academia de la Historia,</w:t>
      </w:r>
      <w:r w:rsidRPr="00650C6F">
        <w:rPr>
          <w:rFonts w:eastAsia="Times New Roman"/>
          <w:sz w:val="20"/>
          <w:szCs w:val="20"/>
        </w:rPr>
        <w:t xml:space="preserve"> XLIV (1904), p. 515).</w:t>
      </w:r>
    </w:p>
  </w:footnote>
  <w:footnote w:id="68">
    <w:p w14:paraId="7CCECBF1" w14:textId="7C92B541"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rFonts w:eastAsia="Times New Roman"/>
          <w:sz w:val="20"/>
          <w:szCs w:val="20"/>
        </w:rPr>
        <w:t>“por su culpa padece hoy la reputación de tantos” (</w:t>
      </w:r>
      <w:r w:rsidRPr="00650C6F">
        <w:rPr>
          <w:rFonts w:eastAsia="Times New Roman"/>
          <w:i/>
          <w:sz w:val="20"/>
          <w:szCs w:val="20"/>
        </w:rPr>
        <w:t>Ibídem,</w:t>
      </w:r>
      <w:r w:rsidRPr="00650C6F">
        <w:rPr>
          <w:rFonts w:eastAsia="Times New Roman"/>
          <w:sz w:val="20"/>
          <w:szCs w:val="20"/>
        </w:rPr>
        <w:t xml:space="preserve"> p. 513). </w:t>
      </w:r>
    </w:p>
  </w:footnote>
  <w:footnote w:id="69">
    <w:p w14:paraId="6291ABD3" w14:textId="63BA98BA"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“Cuando se a bisto tantos erodes como en esta ocasion : en fin el que auia destar en todas partes andaba en una silla de manos, que con esto está dicho todo” (</w:t>
      </w:r>
      <w:r w:rsidRPr="00650C6F">
        <w:rPr>
          <w:i/>
          <w:sz w:val="20"/>
          <w:szCs w:val="20"/>
        </w:rPr>
        <w:t>Ibídem,</w:t>
      </w:r>
      <w:r w:rsidRPr="00650C6F">
        <w:rPr>
          <w:sz w:val="20"/>
          <w:szCs w:val="20"/>
        </w:rPr>
        <w:t xml:space="preserve"> p. 515). </w:t>
      </w:r>
    </w:p>
  </w:footnote>
  <w:footnote w:id="70">
    <w:p w14:paraId="402420F0" w14:textId="61401227"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 xml:space="preserve">Ibídem, </w:t>
      </w:r>
      <w:r w:rsidRPr="00650C6F">
        <w:rPr>
          <w:rFonts w:eastAsia="Times New Roman"/>
          <w:sz w:val="20"/>
          <w:szCs w:val="20"/>
        </w:rPr>
        <w:t xml:space="preserve">p. 511. </w:t>
      </w:r>
    </w:p>
  </w:footnote>
  <w:footnote w:id="71">
    <w:p w14:paraId="6279EC17" w14:textId="505FCD6E"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Ibídem,</w:t>
      </w:r>
      <w:r w:rsidRPr="00650C6F">
        <w:rPr>
          <w:sz w:val="20"/>
          <w:szCs w:val="20"/>
        </w:rPr>
        <w:t xml:space="preserve"> pp. 512-513. </w:t>
      </w:r>
    </w:p>
  </w:footnote>
  <w:footnote w:id="72">
    <w:p w14:paraId="176A49AD" w14:textId="7F1F4562"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Sebastien de Beaulieu y Steffano della Bella, </w:t>
      </w:r>
      <w:r w:rsidRPr="00650C6F">
        <w:rPr>
          <w:i/>
          <w:sz w:val="20"/>
          <w:szCs w:val="20"/>
        </w:rPr>
        <w:t>La bataille de Rocroi,</w:t>
      </w:r>
      <w:r w:rsidRPr="00650C6F">
        <w:rPr>
          <w:sz w:val="20"/>
          <w:szCs w:val="20"/>
        </w:rPr>
        <w:t xml:space="preserve"> 1643. Con la leyenda : “Ordres de Bataille des deux Armées, lesquelles demeurent en / presence l’une de l’autre depuis trois heures apres midÿ jusques au lendemain cinq / heures du matin que le Combat commença”. Paris, Bibliothèque Nationale de France, RESERVE QB-201 (171)-FT 5. </w:t>
      </w:r>
    </w:p>
  </w:footnote>
  <w:footnote w:id="73">
    <w:p w14:paraId="6C0F945D" w14:textId="294E1EDD"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rFonts w:eastAsia="Times New Roman"/>
          <w:sz w:val="20"/>
          <w:szCs w:val="20"/>
        </w:rPr>
        <w:t>Rodríguez Villa, “La Batalla de Rocroy”</w:t>
      </w:r>
      <w:r w:rsidRPr="00650C6F">
        <w:rPr>
          <w:sz w:val="20"/>
          <w:szCs w:val="20"/>
        </w:rPr>
        <w:t xml:space="preserve">, 1904, p. 513. </w:t>
      </w:r>
    </w:p>
  </w:footnote>
  <w:footnote w:id="74">
    <w:p w14:paraId="49B31165" w14:textId="4B88DC7F"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“no me queda ningun escrupulo en la consiensia pus todo lo dije a todos y al Senor Don Francisco y al maldito Conde de Fontana” (</w:t>
      </w:r>
      <w:r w:rsidRPr="00650C6F">
        <w:rPr>
          <w:i/>
          <w:sz w:val="20"/>
          <w:szCs w:val="20"/>
        </w:rPr>
        <w:t>Ibídem,</w:t>
      </w:r>
      <w:r w:rsidRPr="00650C6F">
        <w:rPr>
          <w:sz w:val="20"/>
          <w:szCs w:val="20"/>
        </w:rPr>
        <w:t xml:space="preserve"> p. 515). </w:t>
      </w:r>
    </w:p>
  </w:footnote>
  <w:footnote w:id="75">
    <w:p w14:paraId="535E2960" w14:textId="2BCBFB7D"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Ibídem,</w:t>
      </w:r>
      <w:r w:rsidRPr="00650C6F">
        <w:rPr>
          <w:sz w:val="20"/>
          <w:szCs w:val="20"/>
        </w:rPr>
        <w:t xml:space="preserve"> </w:t>
      </w:r>
      <w:r w:rsidRPr="00650C6F">
        <w:rPr>
          <w:rFonts w:eastAsia="Times New Roman"/>
          <w:sz w:val="20"/>
          <w:szCs w:val="20"/>
        </w:rPr>
        <w:t xml:space="preserve">p. 514. </w:t>
      </w:r>
    </w:p>
  </w:footnote>
  <w:footnote w:id="76">
    <w:p w14:paraId="7A948F2D" w14:textId="0346E235"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Vincart, </w:t>
      </w:r>
      <w:r w:rsidRPr="00650C6F">
        <w:rPr>
          <w:rFonts w:eastAsia="Times New Roman"/>
          <w:i/>
          <w:sz w:val="20"/>
          <w:szCs w:val="20"/>
        </w:rPr>
        <w:t>Relación… de 1643…</w:t>
      </w:r>
      <w:r w:rsidRPr="00650C6F">
        <w:rPr>
          <w:rFonts w:eastAsia="Times New Roman"/>
          <w:sz w:val="20"/>
          <w:szCs w:val="20"/>
        </w:rPr>
        <w:t xml:space="preserve">, 1880, p. 461; </w:t>
      </w:r>
      <w:r w:rsidRPr="00650C6F">
        <w:rPr>
          <w:sz w:val="20"/>
          <w:szCs w:val="20"/>
        </w:rPr>
        <w:t xml:space="preserve">Rodríguez Villa, “El Duque de Alburquerque en la Batalla de Rocroy…”, 1884, </w:t>
      </w:r>
      <w:r w:rsidRPr="00650C6F">
        <w:rPr>
          <w:rFonts w:eastAsia="Times New Roman"/>
          <w:sz w:val="20"/>
          <w:szCs w:val="20"/>
        </w:rPr>
        <w:t xml:space="preserve">p. 349. </w:t>
      </w:r>
    </w:p>
  </w:footnote>
  <w:footnote w:id="77">
    <w:p w14:paraId="529B74B8" w14:textId="44D7767E"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“a traer la nueva de la victoria (en la batalla de Tuttlingen) que los imperiales habían tenido de los franceses, vaimareses y suecos, que ha sido de las mas insignes que ha habido en estos tiempos” (</w:t>
      </w:r>
      <w:r w:rsidRPr="00650C6F">
        <w:rPr>
          <w:i/>
          <w:sz w:val="20"/>
          <w:szCs w:val="20"/>
        </w:rPr>
        <w:t xml:space="preserve">Memorial histórico español…, </w:t>
      </w:r>
      <w:r w:rsidRPr="00650C6F">
        <w:rPr>
          <w:sz w:val="20"/>
          <w:szCs w:val="20"/>
        </w:rPr>
        <w:t>Tomo XVII, 1863, p. 406, 426, 389).</w:t>
      </w:r>
    </w:p>
  </w:footnote>
  <w:footnote w:id="78">
    <w:p w14:paraId="5D232994" w14:textId="1DC40A3B"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Testimonio del Obispo de Bolduque recogido en Carta de Francisco de Galarreta al Secretario Andrés de Rozas, fecha en Bruselas à 2 de Febrero de 1644, en </w:t>
      </w:r>
      <w:r w:rsidRPr="00650C6F">
        <w:rPr>
          <w:i/>
          <w:sz w:val="20"/>
          <w:szCs w:val="20"/>
        </w:rPr>
        <w:t>Documentos para la Historia…,</w:t>
      </w:r>
      <w:r w:rsidRPr="00650C6F">
        <w:rPr>
          <w:sz w:val="20"/>
          <w:szCs w:val="20"/>
        </w:rPr>
        <w:t xml:space="preserve"> pp. 323, 328); Gachard, </w:t>
      </w:r>
      <w:r w:rsidRPr="00650C6F">
        <w:rPr>
          <w:i/>
          <w:sz w:val="20"/>
          <w:szCs w:val="20"/>
        </w:rPr>
        <w:t>Les bibliothèques…,</w:t>
      </w:r>
      <w:r w:rsidRPr="00650C6F">
        <w:rPr>
          <w:sz w:val="20"/>
          <w:szCs w:val="20"/>
        </w:rPr>
        <w:t xml:space="preserve"> 1875, p. 507; Fernández Duró, </w:t>
      </w:r>
      <w:r w:rsidRPr="00650C6F">
        <w:rPr>
          <w:i/>
          <w:sz w:val="20"/>
          <w:szCs w:val="20"/>
        </w:rPr>
        <w:t xml:space="preserve">Don Francisco Fernández de la Cueva…, </w:t>
      </w:r>
      <w:r w:rsidRPr="00650C6F">
        <w:rPr>
          <w:sz w:val="20"/>
          <w:szCs w:val="20"/>
        </w:rPr>
        <w:t>1884,</w:t>
      </w:r>
      <w:r w:rsidRPr="00650C6F">
        <w:rPr>
          <w:i/>
          <w:sz w:val="20"/>
          <w:szCs w:val="20"/>
        </w:rPr>
        <w:t xml:space="preserve"> </w:t>
      </w:r>
      <w:r w:rsidRPr="00650C6F">
        <w:rPr>
          <w:sz w:val="20"/>
          <w:szCs w:val="20"/>
        </w:rPr>
        <w:t xml:space="preserve">p. 364 (apunta que no hay general que haya sido amado por el pueblo). </w:t>
      </w:r>
    </w:p>
  </w:footnote>
  <w:footnote w:id="79">
    <w:p w14:paraId="487B4B8E" w14:textId="3FE7E8D8"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Fernández Duro, </w:t>
      </w:r>
      <w:r w:rsidRPr="00650C6F">
        <w:rPr>
          <w:i/>
          <w:sz w:val="20"/>
          <w:szCs w:val="20"/>
        </w:rPr>
        <w:t>Don Francisco Fernández de la Cueva…</w:t>
      </w:r>
      <w:r w:rsidRPr="00650C6F">
        <w:rPr>
          <w:sz w:val="20"/>
          <w:szCs w:val="20"/>
        </w:rPr>
        <w:t xml:space="preserve">, 1884, p. 364. </w:t>
      </w:r>
    </w:p>
  </w:footnote>
  <w:footnote w:id="80">
    <w:p w14:paraId="409C8826" w14:textId="04C93096"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“El duque de Alburquerque pasó á España por Francia á 2 de Diciembre ; acompañóle toda la corte en choches hasta la salida ; va por posta” (“Carta de Madrid y Enero 22 de 1644”, en </w:t>
      </w:r>
      <w:r w:rsidRPr="00650C6F">
        <w:rPr>
          <w:i/>
          <w:sz w:val="20"/>
          <w:szCs w:val="20"/>
        </w:rPr>
        <w:t>Memorial histórico español…</w:t>
      </w:r>
      <w:r w:rsidRPr="00650C6F">
        <w:rPr>
          <w:sz w:val="20"/>
          <w:szCs w:val="20"/>
        </w:rPr>
        <w:t>, Tomo XVII, 1863, p. 426; Rodríguez Villa, “El Duque de Alburquerque en la Batalla de Rocroy…”, 1884, p. 350).</w:t>
      </w:r>
    </w:p>
  </w:footnote>
  <w:footnote w:id="81">
    <w:p w14:paraId="49A31953" w14:textId="75C76570"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 R. de Villa Urrutia, </w:t>
      </w:r>
      <w:r w:rsidRPr="00650C6F">
        <w:rPr>
          <w:i/>
          <w:sz w:val="20"/>
          <w:szCs w:val="20"/>
        </w:rPr>
        <w:t>Relaciones entre España y Austria durante el reinado de la Emperatriz Doña Margarita, infante de España, esposa del Emperador Leopoldo I,</w:t>
      </w:r>
      <w:r w:rsidRPr="00650C6F">
        <w:rPr>
          <w:sz w:val="20"/>
          <w:szCs w:val="20"/>
        </w:rPr>
        <w:t xml:space="preserve"> Madrid, 1905, p. 77. </w:t>
      </w:r>
    </w:p>
  </w:footnote>
  <w:footnote w:id="82">
    <w:p w14:paraId="1E59B63B" w14:textId="355991FB"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Véase el poema en que se llama a Cantelmo  “monstruo”, y se afirma preferir la muerte a su regreso (Petronella Keysers, </w:t>
      </w:r>
      <w:r w:rsidRPr="00650C6F">
        <w:rPr>
          <w:i/>
          <w:sz w:val="20"/>
          <w:szCs w:val="20"/>
        </w:rPr>
        <w:t>Hemelsprake voor den Brugsen H. Bloeddag</w:t>
      </w:r>
      <w:r w:rsidRPr="00650C6F">
        <w:rPr>
          <w:sz w:val="20"/>
          <w:szCs w:val="20"/>
        </w:rPr>
        <w:t xml:space="preserve">, 1644 ; Cit. Van der Stighelen, en cat. exp. Amberes 2018, p. 159, cat. 1, nota 13).  </w:t>
      </w:r>
    </w:p>
  </w:footnote>
  <w:footnote w:id="83">
    <w:p w14:paraId="228B256A" w14:textId="3D9262D9"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Sanzsalazar, “The influence of Others… “, 2018, pp. 70-71, figs. 6 y 8. </w:t>
      </w:r>
    </w:p>
  </w:footnote>
  <w:footnote w:id="84">
    <w:p w14:paraId="39DA95AE" w14:textId="27FB8292"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Lienzo, 197 x 271 cm. Bruselas, Koninklijk Museum voor Schone Kunsten, inv. 1477. Posterior a 1638. L. Kelchtermans, </w:t>
      </w:r>
      <w:r w:rsidRPr="00650C6F">
        <w:rPr>
          <w:i/>
          <w:sz w:val="20"/>
          <w:szCs w:val="20"/>
        </w:rPr>
        <w:t>Geschilderde gevechten, gekleurde verslagen ; een contextuele analyse van Peter Snayers (1592-1667) topografische strijdtafeleren voor de Habsburgse elite tussen herinnering en verheerlijking</w:t>
      </w:r>
      <w:r w:rsidRPr="00650C6F">
        <w:rPr>
          <w:sz w:val="20"/>
          <w:szCs w:val="20"/>
        </w:rPr>
        <w:t xml:space="preserve">, Tesis Doctoral inédita, KU Leuven, 2013, I, pp. 21-22 ; III, n° 30.8; Van der Stighelen, en cat.exp. Amberes 2018, cat. 1, p. 158, fig., n. 10. </w:t>
      </w:r>
    </w:p>
  </w:footnote>
  <w:footnote w:id="85">
    <w:p w14:paraId="3100EA74" w14:textId="746E6604"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Hacia 1640. G. Wilmers, </w:t>
      </w:r>
      <w:r w:rsidRPr="00650C6F">
        <w:rPr>
          <w:i/>
          <w:sz w:val="20"/>
          <w:szCs w:val="20"/>
        </w:rPr>
        <w:t>Cornelis Schut (1597-1655) : a Flemish painter of the High Baroque</w:t>
      </w:r>
      <w:r w:rsidRPr="00650C6F">
        <w:rPr>
          <w:sz w:val="20"/>
          <w:szCs w:val="20"/>
        </w:rPr>
        <w:t xml:space="preserve">, Turnhout, 1996, pp. 21, 47-48, 120-122, 287) ; Van der Stighelen, en cat.exp. Amberes 2018, cat. 1, p. 159, fig., n. 14. </w:t>
      </w:r>
    </w:p>
  </w:footnote>
  <w:footnote w:id="86">
    <w:p w14:paraId="54111129" w14:textId="507F92C2"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rFonts w:eastAsia="Times New Roman"/>
          <w:sz w:val="20"/>
          <w:szCs w:val="20"/>
        </w:rPr>
        <w:t>Rodríguez Villa, “El Duque de Alburquerque en la Batalla de Rocroy</w:t>
      </w:r>
      <w:r w:rsidRPr="00650C6F">
        <w:rPr>
          <w:sz w:val="20"/>
          <w:szCs w:val="20"/>
        </w:rPr>
        <w:t xml:space="preserve">…”, 1884, pp. 353-354, 379. </w:t>
      </w:r>
    </w:p>
  </w:footnote>
  <w:footnote w:id="87">
    <w:p w14:paraId="413CC3BC" w14:textId="1DB49B4D"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Lope Díez de Armendáriz, I Marqués de Cadreita (Charcas, s. XVI – Madrid, 1644), Virrey de nueva España de 1635 a 1640. L. Hanke y C. Rodríguez, </w:t>
      </w:r>
      <w:r w:rsidRPr="00650C6F">
        <w:rPr>
          <w:i/>
          <w:sz w:val="20"/>
          <w:szCs w:val="20"/>
        </w:rPr>
        <w:t>Los virreyes españoles en América durante el gobierno de la casa de Austria</w:t>
      </w:r>
      <w:r w:rsidRPr="00650C6F">
        <w:rPr>
          <w:sz w:val="20"/>
          <w:szCs w:val="20"/>
        </w:rPr>
        <w:t xml:space="preserve">, t. IV, Madrid, Atlas, 1977, pp. 9-23. </w:t>
      </w:r>
    </w:p>
  </w:footnote>
  <w:footnote w:id="88">
    <w:p w14:paraId="788BA939" w14:textId="274DCC52"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Rodríguez Villa, “El Duque de Alburquerque en la Batalla de Rocroy…”, 1884, p. 351. </w:t>
      </w:r>
    </w:p>
  </w:footnote>
  <w:footnote w:id="89">
    <w:p w14:paraId="0328354A" w14:textId="01AB60E1" w:rsidR="00650C6F" w:rsidRPr="00650C6F" w:rsidRDefault="00650C6F" w:rsidP="00650C6F">
      <w:pPr>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 xml:space="preserve">Relacion de la gran victoria que han tenido las galeras de España, siendo General dellas el… Duque de Alburquerque, </w:t>
      </w:r>
      <w:r w:rsidRPr="00650C6F">
        <w:rPr>
          <w:sz w:val="20"/>
          <w:szCs w:val="20"/>
        </w:rPr>
        <w:t xml:space="preserve">Madrid, 1650; </w:t>
      </w:r>
      <w:r w:rsidRPr="00650C6F">
        <w:rPr>
          <w:i/>
          <w:sz w:val="20"/>
          <w:szCs w:val="20"/>
        </w:rPr>
        <w:t>Carta del excellentissimo señor Duque de Alburquerque, Capitan General de las galeras de Esapaña escrita al exellentissimo señor d. fr. Pedro de Vrbina, Arçobispo de Valencia, Virrey y Capitan General deste Reyno, en que se da quenta de la victoria… en las costas de Cataluña … contra quatro nauios que venían a socorrer… al exercito de Francia… para… la plaça de Tortosa</w:t>
      </w:r>
      <w:r w:rsidRPr="00650C6F">
        <w:rPr>
          <w:sz w:val="20"/>
          <w:szCs w:val="20"/>
        </w:rPr>
        <w:t xml:space="preserve">, 1650. (BNE: R.MICRO/8813); </w:t>
      </w:r>
      <w:r w:rsidRPr="00650C6F">
        <w:rPr>
          <w:i/>
          <w:sz w:val="20"/>
          <w:szCs w:val="20"/>
        </w:rPr>
        <w:t>Relacion puntual y verdadera en que se da quenta el suceso que se ha tenido en la empresa de San Feliu, gouernada, y executada por el Serenissimo Señor Don Iuan, assitido del Duque de Alburquerque, Capitan General de las Galeras de España, y del Marques de Bayona, de la esquadra de Sicilia, lunes a 17 de iunio deste año de 1652</w:t>
      </w:r>
      <w:r w:rsidRPr="00650C6F">
        <w:rPr>
          <w:sz w:val="20"/>
          <w:szCs w:val="20"/>
        </w:rPr>
        <w:t>, En Madrid, por Diego Diaz de la Carrera, impresor del Reyno, 1652).</w:t>
      </w:r>
    </w:p>
  </w:footnote>
  <w:footnote w:id="90">
    <w:p w14:paraId="57B5AFC9" w14:textId="3A8C6D48" w:rsidR="00650C6F" w:rsidRPr="00650C6F" w:rsidRDefault="00650C6F" w:rsidP="00650C6F">
      <w:pPr>
        <w:jc w:val="both"/>
        <w:rPr>
          <w:sz w:val="20"/>
          <w:szCs w:val="20"/>
        </w:rPr>
      </w:pPr>
      <w:r w:rsidRPr="00650C6F">
        <w:rPr>
          <w:rStyle w:val="Marquenotebasdepage"/>
          <w:sz w:val="20"/>
          <w:szCs w:val="20"/>
        </w:rPr>
        <w:footnoteRef/>
      </w:r>
      <w:r w:rsidRPr="00650C6F">
        <w:rPr>
          <w:sz w:val="20"/>
          <w:szCs w:val="20"/>
        </w:rPr>
        <w:t xml:space="preserve"> (Lienzos, </w:t>
      </w:r>
      <w:r w:rsidRPr="00650C6F">
        <w:rPr>
          <w:rFonts w:eastAsia="Times New Roman"/>
          <w:sz w:val="20"/>
          <w:szCs w:val="20"/>
        </w:rPr>
        <w:t>202,5 x 319 cm)</w:t>
      </w:r>
      <w:r w:rsidRPr="00650C6F">
        <w:rPr>
          <w:sz w:val="20"/>
          <w:szCs w:val="20"/>
        </w:rPr>
        <w:t xml:space="preserve">. Ambas obras llevan inscripciones con mención de la participación de Alburquerque. El Sitio de Tortosa: "LA CIUDAD DE TORTOSA.SITIADA PORTIERA CON EL.EX.TO DE SU MAG.D SIENDO. SU CAPIT.N.G.L. Y VI REI DE CATALUNA EL EX.MO S.R MARQ.S DE MORTARA LA GUARDA Y DEFENSA DEL MAR ACARCO DEL EX.MO S.R DUQUE DE ALBURQUERQUE CAP.N G.L DE LAS GALERAS DE ESPANA Y CO.6.DELLAS SALE EL DUQUE ENBUSCA DEL SOCORO QUE VENA EN ESTOS 4 VAXELES AL EX.TO ES FRAN.A PARA SOCORER CO EL LOS CAMBAE I PE LEA Y POR ABORDO SO RENI D DOS TODOS 4 SU ZEDO ES E GRAN SUCESO Y NUNCA VISTO A 24 DE 9.BRE ENTRE TARA CO.NA Y CANABRILES AUSTA DEL EX.TO DE FRAN.CIA GOVERNADO POR EL DUO MERCURIO ENTRO EL DUQ DE ALBURQUERQUE CON LOS.4. VAXEL DEI REM OL CO EN LOS FAQUES”. El sitio de Barcelona lleva la inscripción: "DESDE IS DEAG.TO DE 1651 ASTA 3 DE OTUBRE DE 52 BARCELONA SITADA POR LAS ARMAS DEL REI N.RO S.R. D.PHELIPE 4 TERES TRES I MARITIMAS A CARGO DEL S.R.D.JUA (?) OVI REI I CAP.N GEN.L DEL PRINCIPADO YE XE.TO EL EX. MO S. MARQUES DE MORTARA Y EL EX. MO S.R DUQ DE AL BUQUERQ CAP. N G.L DE LA GALERAS RE ESPANA A QUIA ORDEN ESTAVAN TODAS LAS ESQUADRAS DE GALERAS YA (?) A.DA R.L DE OCEANO I POR QUIA CUENTA CORIA LA DEFENSA Y GAURDA DE LA MAR CONTRA LA CIUDAD Y PROVINCIA DE CATALUNA". Barcelona (Balclis), 19.05.2015, lot 1118 y lot 1120; Barcelona, Museo de Historia de Cataluña, inv. </w:t>
      </w:r>
      <w:r w:rsidRPr="00650C6F">
        <w:rPr>
          <w:rStyle w:val="ezstring-field"/>
          <w:rFonts w:eastAsia="Times New Roman"/>
          <w:sz w:val="20"/>
          <w:szCs w:val="20"/>
        </w:rPr>
        <w:t xml:space="preserve">MHC4605 y MHC4606. Nuestro agradecimiento a Francisco Montes González, quien nos advirtió de la existencia de estas pinturas (comunicación escrita, 30.03.2020). </w:t>
      </w:r>
    </w:p>
  </w:footnote>
  <w:footnote w:id="91">
    <w:p w14:paraId="5685255E" w14:textId="3E13C41F"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El modelo a caballo del príncipe parece seguir el </w:t>
      </w:r>
      <w:r w:rsidRPr="00650C6F">
        <w:rPr>
          <w:i/>
          <w:sz w:val="20"/>
          <w:szCs w:val="20"/>
        </w:rPr>
        <w:t>Retrato ecuestre de Don Juan José de Austria</w:t>
      </w:r>
      <w:r w:rsidRPr="00650C6F">
        <w:rPr>
          <w:sz w:val="20"/>
          <w:szCs w:val="20"/>
        </w:rPr>
        <w:t xml:space="preserve"> por Ribera en el Palacio de El Pardo, del que también es conocido un grabado firmado y fechado en 1648. Véase un segundo estado en Londres, British Museum ; Andrea Bayer, en (A.E. Pérez Sánchez y Nicola Spinosa, dir), </w:t>
      </w:r>
      <w:r w:rsidRPr="00650C6F">
        <w:rPr>
          <w:i/>
          <w:sz w:val="20"/>
          <w:szCs w:val="20"/>
        </w:rPr>
        <w:t>Jusepe de Ribera 1591-1652</w:t>
      </w:r>
      <w:r w:rsidRPr="00650C6F">
        <w:rPr>
          <w:sz w:val="20"/>
          <w:szCs w:val="20"/>
        </w:rPr>
        <w:t xml:space="preserve">, cat.exp. Nueva York (Metropolitan Museum of Art, 1992), p. 189, cat. 86. </w:t>
      </w:r>
    </w:p>
  </w:footnote>
  <w:footnote w:id="92">
    <w:p w14:paraId="3890F974" w14:textId="14ABA034"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Felicissima entrada y recibimiento, que esta Muy Noble, y Muy Leal Ciudad de Mexico hizo Al Excellentissimo Señor Don Francisco Fernandez de la Cueva, Duque de Alburquerque… Virrey Gobernador Capitan general de la Nueva España,</w:t>
      </w:r>
      <w:r w:rsidRPr="00650C6F">
        <w:rPr>
          <w:sz w:val="20"/>
          <w:szCs w:val="20"/>
        </w:rPr>
        <w:t xml:space="preserve"> Méjico, Vda. De Bernardo Calderon, 1653; </w:t>
      </w:r>
      <w:r w:rsidRPr="00650C6F">
        <w:rPr>
          <w:rFonts w:eastAsia="Times New Roman"/>
          <w:i/>
          <w:sz w:val="20"/>
          <w:szCs w:val="20"/>
        </w:rPr>
        <w:t>Relacion del grandioso recebimiento, y elogios que la muy Noble y muy Leal Ciudad de Mexico hizo a la entrada del Excelentissimo señor Don Francisco Fernandez de la Cueua, Duque de Alburquerque, Marques de Cadereyta y Cuellar, Conde de Ledesma, y Guelma ... Virrey, Gouernador y Capitan General de la Nueua España, y Presidente de aquella su Real Chancilleria</w:t>
      </w:r>
      <w:r w:rsidRPr="00650C6F">
        <w:rPr>
          <w:rFonts w:eastAsia="Times New Roman"/>
          <w:sz w:val="20"/>
          <w:szCs w:val="20"/>
        </w:rPr>
        <w:t xml:space="preserve">, por Juan Gomez de Blas, 1654, BNE, VE/1446/23; Francisco de Solano, “Fiestas en la ciudad de México: Estudio historiográfico”, en </w:t>
      </w:r>
      <w:r w:rsidRPr="00650C6F">
        <w:rPr>
          <w:rFonts w:eastAsia="Times New Roman"/>
          <w:i/>
          <w:sz w:val="20"/>
          <w:szCs w:val="20"/>
        </w:rPr>
        <w:t>Ídem,</w:t>
      </w:r>
      <w:r w:rsidRPr="00650C6F">
        <w:rPr>
          <w:rFonts w:eastAsia="Times New Roman"/>
          <w:sz w:val="20"/>
          <w:szCs w:val="20"/>
        </w:rPr>
        <w:t xml:space="preserve"> </w:t>
      </w:r>
      <w:r w:rsidRPr="00650C6F">
        <w:rPr>
          <w:rFonts w:eastAsia="Times New Roman"/>
          <w:i/>
          <w:sz w:val="20"/>
          <w:szCs w:val="20"/>
        </w:rPr>
        <w:t>Ciudades hispanoamericanas y pueblos de indios</w:t>
      </w:r>
      <w:r w:rsidRPr="00650C6F">
        <w:rPr>
          <w:rFonts w:eastAsia="Times New Roman"/>
          <w:sz w:val="20"/>
          <w:szCs w:val="20"/>
        </w:rPr>
        <w:t>, Madrid, 1990, p. 274.</w:t>
      </w:r>
    </w:p>
  </w:footnote>
  <w:footnote w:id="93">
    <w:p w14:paraId="2CBE9902" w14:textId="2921766D"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Marte Catholico, planeta de héroes y ascendente de príncipes que en las lucidas sombras de una triunfal portada ofrece, representa, dedica  la siempre esclarecida, sacra, augusta iglesia metropolitana de México al excelentísimo señor don Francisco Fernández de la Cueva, duque de Alburquerque, marqués de Cadereyta y de Cuéllar … , Virrey gobernador Capitán General de Nueva España, y presidente de su Real Academia,</w:t>
      </w:r>
      <w:r w:rsidRPr="00650C6F">
        <w:rPr>
          <w:sz w:val="20"/>
          <w:szCs w:val="20"/>
        </w:rPr>
        <w:t xml:space="preserve"> México, 1653, México Biblioteca Nacional, UNAM ; J. Chiva Beltrán, </w:t>
      </w:r>
      <w:r w:rsidRPr="00650C6F">
        <w:rPr>
          <w:i/>
          <w:sz w:val="20"/>
          <w:szCs w:val="20"/>
        </w:rPr>
        <w:t>El triunfo del virrey. Glorias novohispanas: origen, apogeo y ocaso de la entrada virreinal</w:t>
      </w:r>
      <w:r w:rsidRPr="00650C6F">
        <w:rPr>
          <w:sz w:val="20"/>
          <w:szCs w:val="20"/>
        </w:rPr>
        <w:t xml:space="preserve">, Castellón de la Plana, 2012, pp. 150-152. A propósito de la ceremonias y de la restitución hipotética de estos arcos, véase Montes González, </w:t>
      </w:r>
      <w:r w:rsidRPr="00650C6F">
        <w:rPr>
          <w:i/>
          <w:sz w:val="20"/>
          <w:szCs w:val="20"/>
        </w:rPr>
        <w:t xml:space="preserve">Mecenazgo virreinal…, </w:t>
      </w:r>
      <w:r w:rsidRPr="00650C6F">
        <w:rPr>
          <w:sz w:val="20"/>
          <w:szCs w:val="20"/>
        </w:rPr>
        <w:t xml:space="preserve"> 2016, pp. 88-113, figs. p. 99, 102, 110.</w:t>
      </w:r>
    </w:p>
  </w:footnote>
  <w:footnote w:id="94">
    <w:p w14:paraId="5BEDA0C2" w14:textId="28EB1890"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A propósito de las obras públicas, véase Montes González, </w:t>
      </w:r>
      <w:r w:rsidRPr="00650C6F">
        <w:rPr>
          <w:i/>
          <w:sz w:val="20"/>
          <w:szCs w:val="20"/>
        </w:rPr>
        <w:t xml:space="preserve">Mecenazgo virreinal…, </w:t>
      </w:r>
      <w:r w:rsidRPr="00650C6F">
        <w:rPr>
          <w:sz w:val="20"/>
          <w:szCs w:val="20"/>
        </w:rPr>
        <w:t xml:space="preserve">2016, pp. 171-177. </w:t>
      </w:r>
    </w:p>
  </w:footnote>
  <w:footnote w:id="95">
    <w:p w14:paraId="27009F3F" w14:textId="19E1F1C6"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Fernández Duro, </w:t>
      </w:r>
      <w:r w:rsidRPr="00650C6F">
        <w:rPr>
          <w:i/>
          <w:sz w:val="20"/>
          <w:szCs w:val="20"/>
        </w:rPr>
        <w:t>Don Francisco Fernández de la Cueva…</w:t>
      </w:r>
      <w:r w:rsidRPr="00650C6F">
        <w:rPr>
          <w:sz w:val="20"/>
          <w:szCs w:val="20"/>
        </w:rPr>
        <w:t xml:space="preserve">, 1884, </w:t>
      </w:r>
      <w:r w:rsidRPr="00650C6F">
        <w:rPr>
          <w:rFonts w:eastAsia="Times New Roman"/>
          <w:sz w:val="20"/>
          <w:szCs w:val="20"/>
        </w:rPr>
        <w:t xml:space="preserve">p. 374; V. Fernández Bulete, “La desconocida “relación de gobierno” del duque de Alburquerque, virrey de Nueva España”, </w:t>
      </w:r>
      <w:r w:rsidRPr="00650C6F">
        <w:rPr>
          <w:rFonts w:eastAsia="Times New Roman"/>
          <w:i/>
          <w:sz w:val="20"/>
          <w:szCs w:val="20"/>
        </w:rPr>
        <w:t>Anuario de Estudios Americanos</w:t>
      </w:r>
      <w:r w:rsidRPr="00650C6F">
        <w:rPr>
          <w:rFonts w:eastAsia="Times New Roman"/>
          <w:sz w:val="20"/>
          <w:szCs w:val="20"/>
        </w:rPr>
        <w:t>, Vol 55, No 2 (1998), pp. 677-702.</w:t>
      </w:r>
    </w:p>
  </w:footnote>
  <w:footnote w:id="96">
    <w:p w14:paraId="534A2386" w14:textId="2AD3EA5E"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rFonts w:eastAsia="Times New Roman"/>
          <w:sz w:val="20"/>
          <w:szCs w:val="20"/>
        </w:rPr>
        <w:t xml:space="preserve">M. Romero de Terreros, “El Virrey Duque de Alburquerque y las Bellas Artes”, </w:t>
      </w:r>
      <w:r w:rsidRPr="00650C6F">
        <w:rPr>
          <w:rFonts w:eastAsia="Times New Roman"/>
          <w:i/>
          <w:sz w:val="20"/>
          <w:szCs w:val="20"/>
        </w:rPr>
        <w:t>Anales del Instituto de investigaciones estéticas</w:t>
      </w:r>
      <w:r w:rsidRPr="00650C6F">
        <w:rPr>
          <w:rFonts w:eastAsia="Times New Roman"/>
          <w:sz w:val="20"/>
          <w:szCs w:val="20"/>
        </w:rPr>
        <w:t>, Universidad Nacional de México, Volumen V, número 19, México, 1951</w:t>
      </w:r>
      <w:r w:rsidRPr="00650C6F">
        <w:rPr>
          <w:sz w:val="20"/>
          <w:szCs w:val="20"/>
        </w:rPr>
        <w:t xml:space="preserve">, p. 93. A propósito de la remodelación del Palacio Virreinal, véase Montes González, </w:t>
      </w:r>
      <w:r w:rsidRPr="00650C6F">
        <w:rPr>
          <w:i/>
          <w:sz w:val="20"/>
          <w:szCs w:val="20"/>
        </w:rPr>
        <w:t xml:space="preserve">Mecenazgo virreinal…, </w:t>
      </w:r>
      <w:r w:rsidRPr="00650C6F">
        <w:rPr>
          <w:sz w:val="20"/>
          <w:szCs w:val="20"/>
        </w:rPr>
        <w:t xml:space="preserve">2016, pp. 181-186. </w:t>
      </w:r>
    </w:p>
  </w:footnote>
  <w:footnote w:id="97">
    <w:p w14:paraId="79B4291B" w14:textId="1D0570C6"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Relacion ajustada, y diseño breue y montea succinta de los festiuos aplausos con que desahogó pequeña parte de los immensos júbilos de su pecho en la regozijada nueva del feliz nacimiento de Nuestro Deseado Príncipe Don Phelipe Prospero que Dios guarde, el EXmo. Señor D. Francisco Fernández de la Cueva, Duque de Alburquerque …</w:t>
      </w:r>
      <w:r w:rsidRPr="00650C6F">
        <w:rPr>
          <w:sz w:val="20"/>
          <w:szCs w:val="20"/>
        </w:rPr>
        <w:t xml:space="preserve">, México: en la Imprenta de Iuan Ruyz, Año de 1658; Francisco Montes González, “Celebrar al heredero. Fastos por el Príncipe Felipe Próspero en Nueva España”, en </w:t>
      </w:r>
      <w:r w:rsidRPr="00650C6F">
        <w:rPr>
          <w:i/>
          <w:sz w:val="20"/>
          <w:szCs w:val="20"/>
        </w:rPr>
        <w:t>Actas de la XI Reunión Científica de la Fundación Española de Historia Moderna</w:t>
      </w:r>
      <w:r w:rsidRPr="00650C6F">
        <w:rPr>
          <w:sz w:val="20"/>
          <w:szCs w:val="20"/>
        </w:rPr>
        <w:t xml:space="preserve">, ed. Antonio Jiménez Estrella, Julián Lozano Navarro (Granada: Universidad de Granada, 2012), I, pp. 469-480; Montes González, </w:t>
      </w:r>
      <w:r w:rsidRPr="00650C6F">
        <w:rPr>
          <w:i/>
          <w:sz w:val="20"/>
          <w:szCs w:val="20"/>
        </w:rPr>
        <w:t xml:space="preserve">Mecenazgo virreinal…, </w:t>
      </w:r>
      <w:r w:rsidRPr="00650C6F">
        <w:rPr>
          <w:sz w:val="20"/>
          <w:szCs w:val="20"/>
        </w:rPr>
        <w:t xml:space="preserve">2016, pp. 187-207. </w:t>
      </w:r>
    </w:p>
  </w:footnote>
  <w:footnote w:id="98">
    <w:p w14:paraId="0A6E16CE" w14:textId="1CFF3FA2"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rFonts w:eastAsia="Times New Roman"/>
          <w:sz w:val="20"/>
          <w:szCs w:val="20"/>
        </w:rPr>
        <w:t xml:space="preserve">Romero de Terreros, “El Virrey Duque de Alburquerque y las Bellas Artes”…, 1951, p. 93. A propósito de los diferentes y valiosos regalos que envió a los reyes, véase Montes González, </w:t>
      </w:r>
      <w:r w:rsidRPr="00650C6F">
        <w:rPr>
          <w:i/>
          <w:sz w:val="20"/>
          <w:szCs w:val="20"/>
        </w:rPr>
        <w:t xml:space="preserve">Mecenazgo virreinal…, </w:t>
      </w:r>
      <w:r w:rsidRPr="00650C6F">
        <w:rPr>
          <w:sz w:val="20"/>
          <w:szCs w:val="20"/>
        </w:rPr>
        <w:t xml:space="preserve">2016, pp. 226-227. </w:t>
      </w:r>
    </w:p>
  </w:footnote>
  <w:footnote w:id="99">
    <w:p w14:paraId="3952F0C4" w14:textId="4BCEF16F"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Véase el biombo con la </w:t>
      </w:r>
      <w:r w:rsidRPr="00650C6F">
        <w:rPr>
          <w:rFonts w:eastAsia="Times New Roman"/>
          <w:i/>
          <w:sz w:val="20"/>
          <w:szCs w:val="20"/>
        </w:rPr>
        <w:t>Vista de la plaza Mayor de la ciudad de México y del paseo de Iztacalco</w:t>
      </w:r>
      <w:r w:rsidRPr="00650C6F">
        <w:rPr>
          <w:sz w:val="20"/>
          <w:szCs w:val="20"/>
        </w:rPr>
        <w:t xml:space="preserve"> (México, colección Rivero Lake), donde se han encontrado las armas de la </w:t>
      </w:r>
      <w:r w:rsidRPr="00650C6F">
        <w:rPr>
          <w:rFonts w:eastAsia="Times New Roman"/>
          <w:sz w:val="20"/>
          <w:szCs w:val="20"/>
        </w:rPr>
        <w:t xml:space="preserve">duquesa </w:t>
      </w:r>
      <w:r w:rsidRPr="00650C6F">
        <w:rPr>
          <w:sz w:val="20"/>
          <w:szCs w:val="20"/>
        </w:rPr>
        <w:t xml:space="preserve">(M. C. Amerlinck de Corsi, “Vista del palacio del virrey de México”, en </w:t>
      </w:r>
      <w:r w:rsidRPr="00650C6F">
        <w:rPr>
          <w:i/>
          <w:sz w:val="20"/>
          <w:szCs w:val="20"/>
        </w:rPr>
        <w:t>Los Siglos de Oro en los virreinatos de América. 1550-1700</w:t>
      </w:r>
      <w:r w:rsidRPr="00650C6F">
        <w:rPr>
          <w:sz w:val="20"/>
          <w:szCs w:val="20"/>
        </w:rPr>
        <w:t xml:space="preserve">, cat.Exp. (Madrid: Sociedad Estatal para la Conmemoración de los Centenarios de Felipe II y Carlos V, 1999), 158-163, cat. 5); identificándola con su esposo asomados al balcón (F. Montes González, “La “jaula” de las virreinas. Polémica en torno a un asiento indecoroso en la catedral de México”, en C. López Calderón, M.A. Fernández Valle, M. I. Rodríguez Moya (coords), </w:t>
      </w:r>
      <w:r w:rsidRPr="00650C6F">
        <w:rPr>
          <w:i/>
          <w:sz w:val="20"/>
          <w:szCs w:val="20"/>
        </w:rPr>
        <w:t>Barroco iberoamericano: identidades culturales de un imperio,</w:t>
      </w:r>
      <w:r w:rsidRPr="00650C6F">
        <w:rPr>
          <w:sz w:val="20"/>
          <w:szCs w:val="20"/>
        </w:rPr>
        <w:t xml:space="preserve"> Vol. I, Santiago de Compostela, 2013, p. 235, fig. 1). No obstante </w:t>
      </w:r>
      <w:r w:rsidRPr="00650C6F">
        <w:rPr>
          <w:rFonts w:eastAsia="Times New Roman"/>
          <w:sz w:val="20"/>
          <w:szCs w:val="20"/>
        </w:rPr>
        <w:t>recientemente se ha apuntado que pudiera ser anterior y proceder del virreinato del padre de la dama (</w:t>
      </w:r>
      <w:r w:rsidRPr="00650C6F">
        <w:rPr>
          <w:sz w:val="20"/>
          <w:szCs w:val="20"/>
        </w:rPr>
        <w:t xml:space="preserve">A. Baena Zapatero, “Apuntes sobre la elaboración de biombos en la Nueva España”, </w:t>
      </w:r>
      <w:r w:rsidRPr="00650C6F">
        <w:rPr>
          <w:i/>
          <w:sz w:val="20"/>
          <w:szCs w:val="20"/>
        </w:rPr>
        <w:t>Archivo Español de Arte</w:t>
      </w:r>
      <w:r w:rsidRPr="00650C6F">
        <w:rPr>
          <w:sz w:val="20"/>
          <w:szCs w:val="20"/>
        </w:rPr>
        <w:t xml:space="preserve"> 350 (2015), p. 178 ; F. Montes González, “Un palacio virreinal en la corte madrileña. Tesoros virreinales de la Casa ducal de Alburquerque”, </w:t>
      </w:r>
      <w:r w:rsidRPr="00650C6F">
        <w:rPr>
          <w:i/>
          <w:sz w:val="20"/>
          <w:szCs w:val="20"/>
        </w:rPr>
        <w:t>Libros de la Corte.es</w:t>
      </w:r>
      <w:r w:rsidRPr="00650C6F">
        <w:rPr>
          <w:sz w:val="20"/>
          <w:szCs w:val="20"/>
        </w:rPr>
        <w:t xml:space="preserve">., Monográfico 5 (2017), p. 156, nota 21, fig. 8). </w:t>
      </w:r>
    </w:p>
  </w:footnote>
  <w:footnote w:id="100">
    <w:p w14:paraId="5DE9EC3B" w14:textId="54858693" w:rsidR="00650C6F" w:rsidRPr="00650C6F" w:rsidRDefault="00650C6F" w:rsidP="00650C6F">
      <w:pPr>
        <w:pStyle w:val="Notedebasdepage"/>
        <w:jc w:val="both"/>
        <w:rPr>
          <w:rFonts w:eastAsia="Times New Roman"/>
          <w:i/>
          <w:sz w:val="20"/>
          <w:szCs w:val="20"/>
        </w:rPr>
      </w:pPr>
      <w:r w:rsidRPr="00650C6F">
        <w:rPr>
          <w:rStyle w:val="Marquenotebasdepage"/>
          <w:sz w:val="20"/>
          <w:szCs w:val="20"/>
        </w:rPr>
        <w:footnoteRef/>
      </w:r>
      <w:r w:rsidRPr="00650C6F">
        <w:rPr>
          <w:sz w:val="20"/>
          <w:szCs w:val="20"/>
        </w:rPr>
        <w:t xml:space="preserve"> </w:t>
      </w:r>
      <w:r w:rsidRPr="00650C6F">
        <w:rPr>
          <w:rFonts w:eastAsia="Times New Roman"/>
          <w:sz w:val="20"/>
          <w:szCs w:val="20"/>
        </w:rPr>
        <w:t xml:space="preserve">G. Martín de Guijo, </w:t>
      </w:r>
      <w:r w:rsidRPr="00650C6F">
        <w:rPr>
          <w:rFonts w:eastAsia="Times New Roman"/>
          <w:i/>
          <w:sz w:val="20"/>
          <w:szCs w:val="20"/>
        </w:rPr>
        <w:t>Diario de sucesos notables escrito por el Licenciado D. Gregorio Martin de Guijo, y comprende los años de 1648 a 1664</w:t>
      </w:r>
      <w:r w:rsidRPr="00650C6F">
        <w:rPr>
          <w:rFonts w:eastAsia="Times New Roman"/>
          <w:sz w:val="20"/>
          <w:szCs w:val="20"/>
        </w:rPr>
        <w:t xml:space="preserve">, Documentos para la Historia de México, México, 1853, tomo II, pp. 43-54, 108, 112-113, y 122; AGI, México, 38, n.º 57, Alburquerque al Consejo, 15 de noviembre de 1658; </w:t>
      </w:r>
      <w:r w:rsidRPr="00650C6F">
        <w:rPr>
          <w:rFonts w:eastAsia="Times New Roman"/>
          <w:i/>
          <w:sz w:val="20"/>
          <w:szCs w:val="20"/>
        </w:rPr>
        <w:t>ibídem</w:t>
      </w:r>
      <w:r w:rsidRPr="00650C6F">
        <w:rPr>
          <w:rFonts w:eastAsia="Times New Roman"/>
          <w:sz w:val="20"/>
          <w:szCs w:val="20"/>
        </w:rPr>
        <w:t xml:space="preserve">, n.º 58, Alburquerque al Consejo, 20 de octubre de 1658; citado por Fernández Bulete, “La desconocida ‘relación…”, p. 683, nota 29;  </w:t>
      </w:r>
      <w:r w:rsidRPr="00650C6F">
        <w:rPr>
          <w:rFonts w:eastAsia="Times New Roman"/>
          <w:i/>
          <w:sz w:val="20"/>
          <w:szCs w:val="20"/>
        </w:rPr>
        <w:t xml:space="preserve">Noticia breve de la solemne deseada última dedicación del templo metropolitano de México…, </w:t>
      </w:r>
      <w:r w:rsidRPr="00650C6F">
        <w:rPr>
          <w:rFonts w:eastAsia="Times New Roman"/>
          <w:sz w:val="20"/>
          <w:szCs w:val="20"/>
        </w:rPr>
        <w:t>Con Licencia, en México, Por Francisco Rodríguez Lupercio Mercader</w:t>
      </w:r>
      <w:r w:rsidRPr="00650C6F">
        <w:rPr>
          <w:rFonts w:eastAsia="Times New Roman"/>
          <w:i/>
          <w:sz w:val="20"/>
          <w:szCs w:val="20"/>
        </w:rPr>
        <w:t xml:space="preserve"> </w:t>
      </w:r>
      <w:r w:rsidRPr="00650C6F">
        <w:rPr>
          <w:rFonts w:eastAsia="Times New Roman"/>
          <w:sz w:val="20"/>
          <w:szCs w:val="20"/>
        </w:rPr>
        <w:t xml:space="preserve">de libros en la puente de Palacio Año 1668, pp. 12v-14r; Romero de Terreros, “El Virrey Duque de Alburquerque y las Bellas Artes”…, 1951, pp. 91-99); M. Toussaint. </w:t>
      </w:r>
      <w:r w:rsidRPr="00650C6F">
        <w:rPr>
          <w:rFonts w:eastAsia="Times New Roman"/>
          <w:i/>
          <w:sz w:val="20"/>
          <w:szCs w:val="20"/>
        </w:rPr>
        <w:t>La catedral de México y el sagrario metropolitano: su historia, su tesoro, su arte</w:t>
      </w:r>
      <w:r w:rsidRPr="00650C6F">
        <w:rPr>
          <w:rFonts w:eastAsia="Times New Roman"/>
          <w:sz w:val="20"/>
          <w:szCs w:val="20"/>
        </w:rPr>
        <w:t xml:space="preserve">, México, Comisión Diocesana de Orden y Decoro, 1948; L. Pérez Puente, </w:t>
      </w:r>
      <w:r w:rsidRPr="00650C6F">
        <w:rPr>
          <w:rFonts w:eastAsia="Times New Roman"/>
          <w:i/>
          <w:sz w:val="20"/>
          <w:szCs w:val="20"/>
        </w:rPr>
        <w:t>Tiempos de crisis, tiempos de consolidación: la catedral metropolitana de la ciudad de México, 1653-1680</w:t>
      </w:r>
      <w:r w:rsidRPr="00650C6F">
        <w:rPr>
          <w:rFonts w:eastAsia="Times New Roman"/>
          <w:sz w:val="20"/>
          <w:szCs w:val="20"/>
        </w:rPr>
        <w:t xml:space="preserve">, México, 2005, pp. 51-91, Montes González, </w:t>
      </w:r>
      <w:r w:rsidRPr="00650C6F">
        <w:rPr>
          <w:i/>
          <w:sz w:val="20"/>
          <w:szCs w:val="20"/>
        </w:rPr>
        <w:t>Mecenazgo virreinal…</w:t>
      </w:r>
      <w:r w:rsidRPr="00650C6F">
        <w:rPr>
          <w:rFonts w:eastAsia="Times New Roman"/>
          <w:sz w:val="20"/>
          <w:szCs w:val="20"/>
        </w:rPr>
        <w:t xml:space="preserve">, 2016, pp. 120-165. </w:t>
      </w:r>
    </w:p>
  </w:footnote>
  <w:footnote w:id="101">
    <w:p w14:paraId="72E943AA" w14:textId="4E558448"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Véase la carta que le envía desde México, a 6 de abril de 1656, en </w:t>
      </w:r>
      <w:r w:rsidRPr="00650C6F">
        <w:rPr>
          <w:rFonts w:eastAsia="Times New Roman"/>
          <w:sz w:val="20"/>
          <w:szCs w:val="20"/>
        </w:rPr>
        <w:t xml:space="preserve">Romero de Terreros, “El Virrey Duque de Alburquerque y las Bellas Artes”…, 1951, </w:t>
      </w:r>
      <w:r w:rsidRPr="00650C6F">
        <w:rPr>
          <w:sz w:val="20"/>
          <w:szCs w:val="20"/>
        </w:rPr>
        <w:t xml:space="preserve">pp. 96-98. </w:t>
      </w:r>
    </w:p>
  </w:footnote>
  <w:footnote w:id="102">
    <w:p w14:paraId="7218840C" w14:textId="3B12F19F"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rFonts w:eastAsia="Times New Roman"/>
          <w:sz w:val="20"/>
          <w:szCs w:val="20"/>
        </w:rPr>
        <w:t xml:space="preserve">Guijo, </w:t>
      </w:r>
      <w:r w:rsidRPr="00650C6F">
        <w:rPr>
          <w:rFonts w:eastAsia="Times New Roman"/>
          <w:i/>
          <w:sz w:val="20"/>
          <w:szCs w:val="20"/>
        </w:rPr>
        <w:t>Diario de 1648 a 1664…</w:t>
      </w:r>
      <w:r w:rsidRPr="00650C6F">
        <w:rPr>
          <w:rFonts w:eastAsia="Times New Roman"/>
          <w:sz w:val="20"/>
          <w:szCs w:val="20"/>
        </w:rPr>
        <w:t xml:space="preserve">, 1853, tomo I, p. 342. </w:t>
      </w:r>
    </w:p>
  </w:footnote>
  <w:footnote w:id="103">
    <w:p w14:paraId="1B05809E" w14:textId="11D1ADD5"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Montes González, </w:t>
      </w:r>
      <w:r w:rsidRPr="00650C6F">
        <w:rPr>
          <w:i/>
          <w:sz w:val="20"/>
          <w:szCs w:val="20"/>
        </w:rPr>
        <w:t xml:space="preserve">Mecenazgo virreinal…, </w:t>
      </w:r>
      <w:r w:rsidRPr="00650C6F">
        <w:rPr>
          <w:sz w:val="20"/>
          <w:szCs w:val="20"/>
        </w:rPr>
        <w:t>2016, pp. 165-170.</w:t>
      </w:r>
      <w:r w:rsidRPr="00650C6F">
        <w:rPr>
          <w:i/>
          <w:sz w:val="20"/>
          <w:szCs w:val="20"/>
        </w:rPr>
        <w:t xml:space="preserve"> </w:t>
      </w:r>
    </w:p>
  </w:footnote>
  <w:footnote w:id="104">
    <w:p w14:paraId="4C3E61CF" w14:textId="633C31B6" w:rsidR="00650C6F" w:rsidRPr="00650C6F" w:rsidRDefault="00650C6F" w:rsidP="00650C6F">
      <w:pPr>
        <w:jc w:val="both"/>
        <w:rPr>
          <w:rFonts w:eastAsia="Times New Roman"/>
          <w:sz w:val="20"/>
          <w:szCs w:val="20"/>
        </w:rPr>
      </w:pPr>
      <w:r w:rsidRPr="00650C6F">
        <w:rPr>
          <w:rStyle w:val="Marquenotebasdepage"/>
          <w:sz w:val="20"/>
          <w:szCs w:val="20"/>
        </w:rPr>
        <w:footnoteRef/>
      </w:r>
      <w:r w:rsidRPr="00650C6F">
        <w:rPr>
          <w:sz w:val="20"/>
          <w:szCs w:val="20"/>
        </w:rPr>
        <w:t xml:space="preserve"> </w:t>
      </w:r>
      <w:r w:rsidRPr="00650C6F">
        <w:rPr>
          <w:rFonts w:eastAsia="Times New Roman"/>
          <w:sz w:val="20"/>
          <w:szCs w:val="20"/>
        </w:rPr>
        <w:t xml:space="preserve">Grabado estampado en los talleres del impresor Francisco Rodríguez Lupercio, 1657 (34 x 48 cm) para la invitación a la tesis universitaria de don José Francisco de Armendáriz (Romero de Terreros, “El Virrey Duque de Alburquerque y las Bellas Artes”…, 1951, p. 94, fig. 2; Montes González, </w:t>
      </w:r>
      <w:r w:rsidRPr="00650C6F">
        <w:rPr>
          <w:i/>
          <w:sz w:val="20"/>
          <w:szCs w:val="20"/>
        </w:rPr>
        <w:t xml:space="preserve">Mecenazgo virreinal…, </w:t>
      </w:r>
      <w:r w:rsidRPr="00650C6F">
        <w:rPr>
          <w:rFonts w:eastAsia="Times New Roman"/>
          <w:sz w:val="20"/>
          <w:szCs w:val="20"/>
        </w:rPr>
        <w:t xml:space="preserve">2016, p. 118, fig., con nuestro agradecimiento al autor, que nos proporcionó la imagen). </w:t>
      </w:r>
    </w:p>
  </w:footnote>
  <w:footnote w:id="105">
    <w:p w14:paraId="318EC0CA" w14:textId="27F911AE"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Fernández Duro, </w:t>
      </w:r>
      <w:r w:rsidRPr="00650C6F">
        <w:rPr>
          <w:i/>
          <w:sz w:val="20"/>
          <w:szCs w:val="20"/>
        </w:rPr>
        <w:t>Don Francisco Fernández de la Cueva…</w:t>
      </w:r>
      <w:r w:rsidRPr="00650C6F">
        <w:rPr>
          <w:sz w:val="20"/>
          <w:szCs w:val="20"/>
        </w:rPr>
        <w:t xml:space="preserve">, 1884, p. 374; L. Hanke y C. Rodríguez, </w:t>
      </w:r>
      <w:r w:rsidRPr="00650C6F">
        <w:rPr>
          <w:i/>
          <w:sz w:val="20"/>
          <w:szCs w:val="20"/>
        </w:rPr>
        <w:t>Los virreyes españoles en América durante el gobierno de la casa de Austria. México. IV</w:t>
      </w:r>
      <w:r w:rsidRPr="00650C6F">
        <w:rPr>
          <w:sz w:val="20"/>
          <w:szCs w:val="20"/>
        </w:rPr>
        <w:t xml:space="preserve">, Madrid, 1977, pp. 174-179. </w:t>
      </w:r>
    </w:p>
  </w:footnote>
  <w:footnote w:id="106">
    <w:p w14:paraId="4C86C5BF" w14:textId="01C3BC4B"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P.A. de la Cueva y Benavides, </w:t>
      </w:r>
      <w:r w:rsidRPr="00650C6F">
        <w:rPr>
          <w:i/>
          <w:sz w:val="20"/>
          <w:szCs w:val="20"/>
        </w:rPr>
        <w:t>Espejo poético en que se miran las heroicas hazañas, y gloriosas, vitorias, ejecutadas, y conseguidas por el Excelentísimo Señor don Francisco Fernández de la Cueva, Duque de Alburquerque …</w:t>
      </w:r>
      <w:r w:rsidRPr="00650C6F">
        <w:rPr>
          <w:sz w:val="20"/>
          <w:szCs w:val="20"/>
        </w:rPr>
        <w:t xml:space="preserve">, Impresso en Granada, En la Imprenta Real,  por Baltasar de Bolibar, 1662; Fernández Duro, </w:t>
      </w:r>
      <w:r w:rsidRPr="00650C6F">
        <w:rPr>
          <w:i/>
          <w:sz w:val="20"/>
          <w:szCs w:val="20"/>
        </w:rPr>
        <w:t>Don Francisco Fernández de la Cueva…</w:t>
      </w:r>
      <w:r w:rsidRPr="00650C6F">
        <w:rPr>
          <w:sz w:val="20"/>
          <w:szCs w:val="20"/>
        </w:rPr>
        <w:t xml:space="preserve">, 1884, p. 374; S. Fasquel, “De la academia al monumento. Las hazañas del duque de Alburquerque y el Espejo poético (1662)”, </w:t>
      </w:r>
      <w:r w:rsidRPr="00650C6F">
        <w:rPr>
          <w:i/>
          <w:sz w:val="20"/>
          <w:szCs w:val="20"/>
        </w:rPr>
        <w:t>Criticón</w:t>
      </w:r>
      <w:r w:rsidRPr="00650C6F">
        <w:rPr>
          <w:sz w:val="20"/>
          <w:szCs w:val="20"/>
        </w:rPr>
        <w:t xml:space="preserve">, 119 (2013), pp. 9-22. </w:t>
      </w:r>
    </w:p>
  </w:footnote>
  <w:footnote w:id="107">
    <w:p w14:paraId="695D0B59" w14:textId="39BDBBA4"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Fernández Duro, </w:t>
      </w:r>
      <w:r w:rsidRPr="00650C6F">
        <w:rPr>
          <w:i/>
          <w:sz w:val="20"/>
          <w:szCs w:val="20"/>
        </w:rPr>
        <w:t>Don Francisco Fernández de la Cueva…</w:t>
      </w:r>
      <w:r w:rsidRPr="00650C6F">
        <w:rPr>
          <w:sz w:val="20"/>
          <w:szCs w:val="20"/>
        </w:rPr>
        <w:t xml:space="preserve">, 1884, p. 364; Rodríguez Villa, “El Duque de Alburquerque en la Batalla de Rocroy…”, 1884, p. 354. </w:t>
      </w:r>
    </w:p>
  </w:footnote>
  <w:footnote w:id="108">
    <w:p w14:paraId="68A69D84" w14:textId="703A0478"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rFonts w:eastAsia="Times New Roman"/>
          <w:sz w:val="20"/>
          <w:szCs w:val="20"/>
        </w:rPr>
        <w:t>Alburquerque sufrió calenturas que después “ degeneraron en quartanas” (</w:t>
      </w:r>
      <w:r w:rsidRPr="00650C6F">
        <w:rPr>
          <w:sz w:val="20"/>
          <w:szCs w:val="20"/>
        </w:rPr>
        <w:t xml:space="preserve">J. de Villarroell, </w:t>
      </w:r>
      <w:r w:rsidRPr="00650C6F">
        <w:rPr>
          <w:i/>
          <w:sz w:val="20"/>
          <w:szCs w:val="20"/>
        </w:rPr>
        <w:t>Relacion diaria de la jornada de la Señora Emperatriz, desde que desembarcó en el Final, hastaque salió de Lombardía, Al Ilustrissimo Señor Conde Bartholomé Ares, Regente del Supremo Consejo de Italia, y Presidente del Senado de Milan</w:t>
      </w:r>
      <w:r w:rsidRPr="00650C6F">
        <w:rPr>
          <w:sz w:val="20"/>
          <w:szCs w:val="20"/>
        </w:rPr>
        <w:t xml:space="preserve">, Milan, 1667, pp. 23, 41; Villa Irrutia, </w:t>
      </w:r>
      <w:r w:rsidRPr="00650C6F">
        <w:rPr>
          <w:i/>
          <w:sz w:val="20"/>
          <w:szCs w:val="20"/>
        </w:rPr>
        <w:t>Relaciones …,</w:t>
      </w:r>
      <w:r w:rsidRPr="00650C6F">
        <w:rPr>
          <w:sz w:val="20"/>
          <w:szCs w:val="20"/>
        </w:rPr>
        <w:t xml:space="preserve"> 1905, p. 79). </w:t>
      </w:r>
    </w:p>
  </w:footnote>
  <w:footnote w:id="109">
    <w:p w14:paraId="665F1CB6" w14:textId="0D9C5807"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Rodríguez Villa, “El Duque de Alburquerque en la Batalla de Rocroy…”, 1884, p. 355. </w:t>
      </w:r>
    </w:p>
  </w:footnote>
  <w:footnote w:id="110">
    <w:p w14:paraId="3D2CC4FF" w14:textId="77777777"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rFonts w:eastAsia="Times New Roman"/>
          <w:sz w:val="20"/>
          <w:szCs w:val="20"/>
        </w:rPr>
        <w:t xml:space="preserve">E. Laloy, </w:t>
      </w:r>
      <w:r w:rsidRPr="00650C6F">
        <w:rPr>
          <w:rFonts w:eastAsia="Times New Roman"/>
          <w:i/>
          <w:sz w:val="20"/>
          <w:szCs w:val="20"/>
        </w:rPr>
        <w:t>La révolte de Messine ; l’expédition de Sicile et la politique française en Italie (1674-1678) ; avec des chapitres sur les origines de la révolte (1648-1674) et sur le sort des éxilés (1678-1702)</w:t>
      </w:r>
      <w:r w:rsidRPr="00650C6F">
        <w:rPr>
          <w:rFonts w:eastAsia="Times New Roman"/>
          <w:sz w:val="20"/>
          <w:szCs w:val="20"/>
        </w:rPr>
        <w:t xml:space="preserve">, tome 1, Paris, 1929, pp. 84, 112, 113, 457, 462. </w:t>
      </w:r>
    </w:p>
  </w:footnote>
  <w:footnote w:id="111">
    <w:p w14:paraId="22244DA9" w14:textId="78C34C1F"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Fernández Duro, </w:t>
      </w:r>
      <w:r w:rsidRPr="00650C6F">
        <w:rPr>
          <w:i/>
          <w:sz w:val="20"/>
          <w:szCs w:val="20"/>
        </w:rPr>
        <w:t>Don Francisco Fernández de la Cueva…</w:t>
      </w:r>
      <w:r w:rsidRPr="00650C6F">
        <w:rPr>
          <w:sz w:val="20"/>
          <w:szCs w:val="20"/>
        </w:rPr>
        <w:t xml:space="preserve">, 1884, p. 374. </w:t>
      </w:r>
    </w:p>
  </w:footnote>
  <w:footnote w:id="112">
    <w:p w14:paraId="7B37EEA2" w14:textId="4761A70E"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rFonts w:eastAsia="Times New Roman"/>
          <w:sz w:val="20"/>
          <w:szCs w:val="20"/>
        </w:rPr>
        <w:t xml:space="preserve">Romero de Terreros, “El Virrey Duque de Alburquerque y las Bellas Artes”…, 1951, p. 95. Menciona que la noticia de Van Dyck proviene de Fernández Duro, pero no se halla en el artículo citado.  </w:t>
      </w:r>
    </w:p>
  </w:footnote>
  <w:footnote w:id="113">
    <w:p w14:paraId="6433F10F" w14:textId="67E5F934"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M. Díaz Padrón, J. Sanzsalazar y A. Diéguez, </w:t>
      </w:r>
      <w:r w:rsidRPr="00650C6F">
        <w:rPr>
          <w:i/>
          <w:sz w:val="20"/>
          <w:szCs w:val="20"/>
        </w:rPr>
        <w:t>Van Dyck en España,</w:t>
      </w:r>
      <w:r w:rsidRPr="00650C6F">
        <w:rPr>
          <w:sz w:val="20"/>
          <w:szCs w:val="20"/>
        </w:rPr>
        <w:t xml:space="preserve"> Barcelona, 2012, vol. I, p. 362, cat. 31. </w:t>
      </w:r>
    </w:p>
  </w:footnote>
  <w:footnote w:id="114">
    <w:p w14:paraId="6DFDC86C" w14:textId="73D35A00"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“Suplico al Rey Nuestro Señor, que Dios guarde y  prospere largos y felices años, se sirva de mandar recivir, en memoria al amor y reverencia que devo á las singulares honras y mercedes que se ha servido hacerme por su Real benignidad, una pintura de Santa Rosolea (Rosalía) en elevación, por ser la de mayor estimación, y devoción que tengo. Suplico á la Reina Nuestra Señora que Dios guarde que se sirva de mandar admitir mi buena ley y rendimiento con la corta demostración de una pintura de Santa Rosolea en penitencia, á que he tenido especial devoción” (Testamento del 12 de marzo de 1676, ante Andrés de Calatañazor, escribano Real de Madrid, y Antonio Flores, escribano de S.M., en F. Fernández de Bethencourt, </w:t>
      </w:r>
      <w:r w:rsidRPr="00650C6F">
        <w:rPr>
          <w:i/>
          <w:sz w:val="20"/>
          <w:szCs w:val="20"/>
        </w:rPr>
        <w:t>Historia genealógica y heráldica de la monarquía española, Casa Real y Grandes de España</w:t>
      </w:r>
      <w:r w:rsidRPr="00650C6F">
        <w:rPr>
          <w:sz w:val="20"/>
          <w:szCs w:val="20"/>
        </w:rPr>
        <w:t>, Madrid, 1897-1920, tomo X, p. 290).</w:t>
      </w:r>
    </w:p>
  </w:footnote>
  <w:footnote w:id="115">
    <w:p w14:paraId="27D458A0" w14:textId="671B568D"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Al menos ocho lienzos de Van Dyck con </w:t>
      </w:r>
      <w:r w:rsidRPr="00650C6F">
        <w:rPr>
          <w:i/>
          <w:sz w:val="20"/>
          <w:szCs w:val="20"/>
        </w:rPr>
        <w:t>Santa Rosalía</w:t>
      </w:r>
      <w:r w:rsidRPr="00650C6F">
        <w:rPr>
          <w:sz w:val="20"/>
          <w:szCs w:val="20"/>
        </w:rPr>
        <w:t xml:space="preserve"> provienen de España. A. Diéguez Rodríguez, “Dos obras de Anton van Dyck del Alcázar de Madrid en la Alte Pinakothek de Munich”, </w:t>
      </w:r>
      <w:r w:rsidRPr="00650C6F">
        <w:rPr>
          <w:i/>
          <w:sz w:val="20"/>
          <w:szCs w:val="20"/>
        </w:rPr>
        <w:t>Archivo Español de Arte</w:t>
      </w:r>
      <w:r w:rsidRPr="00650C6F">
        <w:rPr>
          <w:sz w:val="20"/>
          <w:szCs w:val="20"/>
        </w:rPr>
        <w:t xml:space="preserve">, LXXIX, 314 (Abril-Junio 2006), pp. 187-204; M. Díaz Padrón,  “Religión y devoción de Van Dyck en el coleccionismo español del siglo XVII”, </w:t>
      </w:r>
      <w:r w:rsidRPr="00650C6F">
        <w:rPr>
          <w:i/>
          <w:sz w:val="20"/>
          <w:szCs w:val="20"/>
        </w:rPr>
        <w:t>Anales de Historia del Arte</w:t>
      </w:r>
      <w:r w:rsidRPr="00650C6F">
        <w:rPr>
          <w:sz w:val="20"/>
          <w:szCs w:val="20"/>
        </w:rPr>
        <w:t xml:space="preserve">, 20 (2010), pp. 134-135; Díaz Padrón et al., </w:t>
      </w:r>
      <w:r w:rsidRPr="00650C6F">
        <w:rPr>
          <w:i/>
          <w:sz w:val="20"/>
          <w:szCs w:val="20"/>
        </w:rPr>
        <w:t xml:space="preserve">Van Dyck…, </w:t>
      </w:r>
      <w:r w:rsidRPr="00650C6F">
        <w:rPr>
          <w:sz w:val="20"/>
          <w:szCs w:val="20"/>
        </w:rPr>
        <w:t xml:space="preserve">2012, pp. 352-377, cats. 29-36. </w:t>
      </w:r>
    </w:p>
  </w:footnote>
  <w:footnote w:id="116">
    <w:p w14:paraId="673B30F8" w14:textId="4411456E"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Lienzo, 114 x 84 cm. Londres, Apsley House, colección Wellington, inv. 246. Díaz Padrón et al., </w:t>
      </w:r>
      <w:r w:rsidRPr="00650C6F">
        <w:rPr>
          <w:i/>
          <w:sz w:val="20"/>
          <w:szCs w:val="20"/>
        </w:rPr>
        <w:t xml:space="preserve">Van Dyck…, </w:t>
      </w:r>
      <w:r w:rsidRPr="00650C6F">
        <w:rPr>
          <w:sz w:val="20"/>
          <w:szCs w:val="20"/>
        </w:rPr>
        <w:t xml:space="preserve">2012, vol. I, pp. 352-355, cat. 29). </w:t>
      </w:r>
    </w:p>
  </w:footnote>
  <w:footnote w:id="117">
    <w:p w14:paraId="03D98A56" w14:textId="5B475278"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“Dom Francisco de Mello depuis sa défaite devant Rocroy, s’est retranché pres de Monts en Hainaut avec six mille fantassins tirez des garnisons voisines” (En carta de Amberes, 29 de Mayo de 1643, “Nouvelles Ordinaires du Sixiesme Iuin 1643”, en Renaudot, </w:t>
      </w:r>
      <w:r w:rsidRPr="00650C6F">
        <w:rPr>
          <w:i/>
          <w:sz w:val="20"/>
          <w:szCs w:val="20"/>
        </w:rPr>
        <w:t>Reccueil des gazettes et nouvelles…,</w:t>
      </w:r>
      <w:r w:rsidRPr="00650C6F">
        <w:rPr>
          <w:sz w:val="20"/>
          <w:szCs w:val="20"/>
        </w:rPr>
        <w:t xml:space="preserve"> Paris, 1643, p. 464) ; Commelyn, </w:t>
      </w:r>
      <w:r w:rsidRPr="00650C6F">
        <w:rPr>
          <w:i/>
          <w:sz w:val="20"/>
          <w:szCs w:val="20"/>
        </w:rPr>
        <w:t xml:space="preserve">Histoire de la vie &amp; actes…, </w:t>
      </w:r>
      <w:r w:rsidRPr="00650C6F">
        <w:rPr>
          <w:sz w:val="20"/>
          <w:szCs w:val="20"/>
        </w:rPr>
        <w:t xml:space="preserve">1656, p. 130.  </w:t>
      </w:r>
    </w:p>
  </w:footnote>
  <w:footnote w:id="118">
    <w:p w14:paraId="2DBBF564" w14:textId="0B22FF82"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i/>
          <w:sz w:val="20"/>
          <w:szCs w:val="20"/>
        </w:rPr>
        <w:t>Ibídem</w:t>
      </w:r>
      <w:r w:rsidRPr="00650C6F">
        <w:rPr>
          <w:sz w:val="20"/>
          <w:szCs w:val="20"/>
        </w:rPr>
        <w:t xml:space="preserve">, p. 130. </w:t>
      </w:r>
    </w:p>
  </w:footnote>
  <w:footnote w:id="119">
    <w:p w14:paraId="0EF9F1E2" w14:textId="42C0666B"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Van der Stighelen, </w:t>
      </w:r>
      <w:r w:rsidRPr="00650C6F">
        <w:rPr>
          <w:rFonts w:cs="Times New Roman"/>
          <w:sz w:val="20"/>
          <w:szCs w:val="20"/>
        </w:rPr>
        <w:t>“Prima inter pares…”,</w:t>
      </w:r>
      <w:r w:rsidRPr="00650C6F">
        <w:rPr>
          <w:sz w:val="20"/>
          <w:szCs w:val="20"/>
        </w:rPr>
        <w:t xml:space="preserve"> 2005, pp. 108-109. </w:t>
      </w:r>
    </w:p>
  </w:footnote>
  <w:footnote w:id="120">
    <w:p w14:paraId="7374657B" w14:textId="77777777"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Van der Stighelen, “Growing up with Eight Brothers… “, 2018, p. 22. </w:t>
      </w:r>
    </w:p>
  </w:footnote>
  <w:footnote w:id="121">
    <w:p w14:paraId="0B7D6812" w14:textId="5C9D6EED"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w:t>
      </w:r>
      <w:r w:rsidRPr="00650C6F">
        <w:rPr>
          <w:rFonts w:eastAsia="Times New Roman"/>
          <w:sz w:val="20"/>
          <w:szCs w:val="20"/>
        </w:rPr>
        <w:t>Si bien la bengala se asocia habitualmente a los Capitanes generales, también la llevaban los Maestres de Campo</w:t>
      </w:r>
      <w:r w:rsidRPr="00650C6F">
        <w:rPr>
          <w:sz w:val="20"/>
          <w:szCs w:val="20"/>
        </w:rPr>
        <w:t xml:space="preserve">, como bien indican varias fuentes: “Los Maestres de Campo, pueden traer bastón, y lo mismo los Sargentos Mayores de los Tercios, y los Capitanes de Campaña” (F. Ventura de la Sala y Albarca, </w:t>
      </w:r>
      <w:r w:rsidRPr="00650C6F">
        <w:rPr>
          <w:i/>
          <w:sz w:val="20"/>
          <w:szCs w:val="20"/>
        </w:rPr>
        <w:t>Despues de Dios la primera obligacion y glosa de ordenes militares</w:t>
      </w:r>
      <w:r w:rsidRPr="00650C6F">
        <w:rPr>
          <w:sz w:val="20"/>
          <w:szCs w:val="20"/>
        </w:rPr>
        <w:t xml:space="preserve">, En Napoles, por Geronimo Fasulo, 1681, p. 160). “El distintivo de estas jerarquías (maestres de campo y maestres de campo generales) era la banda roja, pero el que ejercía el mando superior llevaba además un bastón de corta longitud” (F. Barado y Font, </w:t>
      </w:r>
      <w:r w:rsidRPr="00650C6F">
        <w:rPr>
          <w:i/>
          <w:sz w:val="20"/>
          <w:szCs w:val="20"/>
        </w:rPr>
        <w:t>Museo militar. Historia del ejército español: armas, uniformes, sistemas de combate, instituciones, organización del mismo, desde los tiempos más remotos hasta nuestros días</w:t>
      </w:r>
      <w:r w:rsidRPr="00650C6F">
        <w:rPr>
          <w:sz w:val="20"/>
          <w:szCs w:val="20"/>
        </w:rPr>
        <w:t xml:space="preserve">, II, Barcelona, 1880, p. 407). </w:t>
      </w:r>
    </w:p>
  </w:footnote>
  <w:footnote w:id="122">
    <w:p w14:paraId="0759AF2F" w14:textId="4BEC6F29"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Véase el </w:t>
      </w:r>
      <w:r w:rsidRPr="00650C6F">
        <w:rPr>
          <w:i/>
          <w:sz w:val="20"/>
          <w:szCs w:val="20"/>
        </w:rPr>
        <w:t>Memorial del duque de Alburquerque</w:t>
      </w:r>
      <w:r w:rsidRPr="00650C6F">
        <w:rPr>
          <w:sz w:val="20"/>
          <w:szCs w:val="20"/>
        </w:rPr>
        <w:t xml:space="preserve">, en </w:t>
      </w:r>
      <w:r w:rsidRPr="00650C6F">
        <w:rPr>
          <w:rFonts w:eastAsia="Times New Roman"/>
          <w:sz w:val="20"/>
          <w:szCs w:val="20"/>
        </w:rPr>
        <w:t>Rodríguez Villa, “El Duque de Alburquerque en la Batalla de Rocroy…”, 1884</w:t>
      </w:r>
      <w:r>
        <w:rPr>
          <w:sz w:val="20"/>
          <w:szCs w:val="20"/>
        </w:rPr>
        <w:t>, p. 379</w:t>
      </w:r>
      <w:r w:rsidRPr="00650C6F">
        <w:rPr>
          <w:sz w:val="20"/>
          <w:szCs w:val="20"/>
        </w:rPr>
        <w:t xml:space="preserve">. </w:t>
      </w:r>
    </w:p>
  </w:footnote>
  <w:footnote w:id="123">
    <w:p w14:paraId="23C93487" w14:textId="5DB7C1C2"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El 17 de mayo de 1635 se procede al inventario de los objetos enviados desde Madrid a Cuéllar: </w:t>
      </w:r>
      <w:r w:rsidRPr="00650C6F">
        <w:rPr>
          <w:rFonts w:eastAsia="Times New Roman"/>
          <w:i/>
          <w:sz w:val="20"/>
          <w:szCs w:val="20"/>
        </w:rPr>
        <w:t>Memoria de las alhajas que se enviaron a Cuéllar para que se guarden en la fortaleza de ella durante el tiempo de la ausencia de su excelencia en el virreinato de México</w:t>
      </w:r>
      <w:r w:rsidRPr="00650C6F">
        <w:rPr>
          <w:sz w:val="20"/>
          <w:szCs w:val="20"/>
        </w:rPr>
        <w:t xml:space="preserve">, Cuéllar, Archivo Alburquerque, caja 39, exp. 17, fols. 1-7 ; Montes González, </w:t>
      </w:r>
      <w:r w:rsidRPr="00650C6F">
        <w:rPr>
          <w:i/>
          <w:sz w:val="20"/>
          <w:szCs w:val="20"/>
        </w:rPr>
        <w:t xml:space="preserve">Mecenazgo virreinal…, </w:t>
      </w:r>
      <w:r w:rsidRPr="00650C6F">
        <w:rPr>
          <w:sz w:val="20"/>
          <w:szCs w:val="20"/>
        </w:rPr>
        <w:t xml:space="preserve">2016, pp. 234-235. </w:t>
      </w:r>
    </w:p>
  </w:footnote>
  <w:footnote w:id="124">
    <w:p w14:paraId="5524470D" w14:textId="71640B7B"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Se les concedía el privilegio de traer hasta 30.000 pesos en las cosas de su servicio y casa.  Al hablar de su palacio, Guijo menciona “colgaduras que trajo de España, sin permitir entrase en palacio un clavo prestado, porque todo lo trajo de España” (</w:t>
      </w:r>
      <w:r w:rsidRPr="00650C6F">
        <w:rPr>
          <w:rFonts w:eastAsia="Times New Roman"/>
          <w:sz w:val="20"/>
          <w:szCs w:val="20"/>
        </w:rPr>
        <w:t xml:space="preserve">Guijo, </w:t>
      </w:r>
      <w:r w:rsidRPr="00650C6F">
        <w:rPr>
          <w:rFonts w:eastAsia="Times New Roman"/>
          <w:i/>
          <w:sz w:val="20"/>
          <w:szCs w:val="20"/>
        </w:rPr>
        <w:t>Diario de 1648 a 1664…</w:t>
      </w:r>
      <w:r w:rsidRPr="00650C6F">
        <w:rPr>
          <w:rFonts w:eastAsia="Times New Roman"/>
          <w:sz w:val="20"/>
          <w:szCs w:val="20"/>
        </w:rPr>
        <w:t xml:space="preserve">, 1853, </w:t>
      </w:r>
      <w:r w:rsidRPr="00650C6F">
        <w:rPr>
          <w:sz w:val="20"/>
          <w:szCs w:val="20"/>
        </w:rPr>
        <w:t xml:space="preserve">tomo I, p. 23; Montes González, </w:t>
      </w:r>
      <w:r w:rsidRPr="00650C6F">
        <w:rPr>
          <w:i/>
          <w:sz w:val="20"/>
          <w:szCs w:val="20"/>
        </w:rPr>
        <w:t xml:space="preserve">Mecenazgo virreinal.., 2016, </w:t>
      </w:r>
      <w:r w:rsidRPr="00650C6F">
        <w:rPr>
          <w:sz w:val="20"/>
          <w:szCs w:val="20"/>
        </w:rPr>
        <w:t xml:space="preserve">p. 181). </w:t>
      </w:r>
    </w:p>
  </w:footnote>
  <w:footnote w:id="125">
    <w:p w14:paraId="2D4AFA2D" w14:textId="3ECE4C36" w:rsidR="00650C6F" w:rsidRPr="00650C6F" w:rsidRDefault="00650C6F" w:rsidP="00650C6F">
      <w:pPr>
        <w:pStyle w:val="Notedebasdepage"/>
        <w:jc w:val="both"/>
        <w:rPr>
          <w:sz w:val="20"/>
          <w:szCs w:val="20"/>
        </w:rPr>
      </w:pPr>
      <w:r w:rsidRPr="00650C6F">
        <w:rPr>
          <w:rStyle w:val="Marquenotebasdepage"/>
          <w:sz w:val="20"/>
          <w:szCs w:val="20"/>
        </w:rPr>
        <w:footnoteRef/>
      </w:r>
      <w:r w:rsidRPr="00650C6F">
        <w:rPr>
          <w:sz w:val="20"/>
          <w:szCs w:val="20"/>
        </w:rPr>
        <w:t xml:space="preserve"> Numerosos son los retratos sin especificar en los inventarios de Ana de la Cueva Enriquez Diez de Acero y Armendariz (1727), y </w:t>
      </w:r>
      <w:r w:rsidRPr="00650C6F">
        <w:rPr>
          <w:rFonts w:eastAsia="Times New Roman"/>
          <w:sz w:val="20"/>
          <w:szCs w:val="20"/>
        </w:rPr>
        <w:t>Francisco Fernández de la Cueva (1733):</w:t>
      </w:r>
      <w:r w:rsidRPr="00650C6F">
        <w:rPr>
          <w:sz w:val="20"/>
          <w:szCs w:val="20"/>
        </w:rPr>
        <w:t xml:space="preserve"> “Retratto de s.r De la Cassa de Dha ex.ma señora Marquesa, De medio Cuerpo”; “Dos rettratos de señores de la dha casa en zientto y Veintte rreales ambos 120”; </w:t>
      </w:r>
      <w:r w:rsidRPr="00650C6F">
        <w:rPr>
          <w:rFonts w:eastAsia="Times New Roman"/>
          <w:sz w:val="20"/>
          <w:szCs w:val="20"/>
        </w:rPr>
        <w:t>“Ottro de un señor de dicha Cassa en sesentta Reales 60”; “Ottros dos Rettrattos de señores de la referida Cassa en sesentta reales ambos por mittad 60”; “Ottro de un señor de dicha Cassa en sesentta Reales 60”;</w:t>
      </w:r>
      <w:r w:rsidRPr="00650C6F">
        <w:rPr>
          <w:sz w:val="20"/>
          <w:szCs w:val="20"/>
        </w:rPr>
        <w:t xml:space="preserve"> </w:t>
      </w:r>
      <w:r w:rsidRPr="00650C6F">
        <w:rPr>
          <w:rFonts w:eastAsia="Times New Roman"/>
          <w:sz w:val="20"/>
          <w:szCs w:val="20"/>
        </w:rPr>
        <w:t xml:space="preserve">“Quatro retratos de señores de la Casa de la dha Ex.ma S.ra Marquesa de Cadreitta los tres de cuerpo entero y el otro de medio cuerpo y todos con sus marcos negros en ziento y veinte rs 120” (P. Burke y P. Cherry, </w:t>
      </w:r>
      <w:r w:rsidRPr="00650C6F">
        <w:rPr>
          <w:rFonts w:eastAsia="Times New Roman"/>
          <w:i/>
          <w:sz w:val="20"/>
          <w:szCs w:val="20"/>
        </w:rPr>
        <w:t>Documents for the History of Collecting: Spanish Inventories 1, Collections of Paintings in Madrid 1601-1755</w:t>
      </w:r>
      <w:r w:rsidRPr="00650C6F">
        <w:rPr>
          <w:rFonts w:eastAsia="Times New Roman"/>
          <w:sz w:val="20"/>
          <w:szCs w:val="20"/>
        </w:rPr>
        <w:t xml:space="preserve"> (Los Angeles: Getty, 1997), pp. 990-1001, 1007-1014).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70"/>
    <w:rsid w:val="00003C94"/>
    <w:rsid w:val="00004480"/>
    <w:rsid w:val="00004C61"/>
    <w:rsid w:val="00005438"/>
    <w:rsid w:val="00012259"/>
    <w:rsid w:val="00015FB3"/>
    <w:rsid w:val="00015FCA"/>
    <w:rsid w:val="000162F7"/>
    <w:rsid w:val="00016B45"/>
    <w:rsid w:val="000174F2"/>
    <w:rsid w:val="00022EF9"/>
    <w:rsid w:val="00031178"/>
    <w:rsid w:val="000338BA"/>
    <w:rsid w:val="00035507"/>
    <w:rsid w:val="00042A8F"/>
    <w:rsid w:val="000434D1"/>
    <w:rsid w:val="00043590"/>
    <w:rsid w:val="000462BB"/>
    <w:rsid w:val="0005057A"/>
    <w:rsid w:val="00053CEE"/>
    <w:rsid w:val="000558D6"/>
    <w:rsid w:val="00060AE3"/>
    <w:rsid w:val="00061375"/>
    <w:rsid w:val="00062DA9"/>
    <w:rsid w:val="000652B6"/>
    <w:rsid w:val="000669DA"/>
    <w:rsid w:val="000710FD"/>
    <w:rsid w:val="0007182A"/>
    <w:rsid w:val="00075041"/>
    <w:rsid w:val="00076825"/>
    <w:rsid w:val="0007778A"/>
    <w:rsid w:val="00083638"/>
    <w:rsid w:val="00083762"/>
    <w:rsid w:val="00086324"/>
    <w:rsid w:val="0008740C"/>
    <w:rsid w:val="00091425"/>
    <w:rsid w:val="000959EA"/>
    <w:rsid w:val="000968F6"/>
    <w:rsid w:val="000976F8"/>
    <w:rsid w:val="000A0881"/>
    <w:rsid w:val="000A56E6"/>
    <w:rsid w:val="000A7B63"/>
    <w:rsid w:val="000B219C"/>
    <w:rsid w:val="000B2290"/>
    <w:rsid w:val="000B39E2"/>
    <w:rsid w:val="000B3CBF"/>
    <w:rsid w:val="000B5586"/>
    <w:rsid w:val="000C0889"/>
    <w:rsid w:val="000C18BC"/>
    <w:rsid w:val="000C287C"/>
    <w:rsid w:val="000C2CC1"/>
    <w:rsid w:val="000C43E0"/>
    <w:rsid w:val="000C5E32"/>
    <w:rsid w:val="000C794B"/>
    <w:rsid w:val="000C7F34"/>
    <w:rsid w:val="000D3933"/>
    <w:rsid w:val="000D3E8E"/>
    <w:rsid w:val="000E34A2"/>
    <w:rsid w:val="000E3761"/>
    <w:rsid w:val="000F097B"/>
    <w:rsid w:val="000F23C2"/>
    <w:rsid w:val="000F3F45"/>
    <w:rsid w:val="0010075E"/>
    <w:rsid w:val="00102B8A"/>
    <w:rsid w:val="00105F6F"/>
    <w:rsid w:val="0010635D"/>
    <w:rsid w:val="0010721F"/>
    <w:rsid w:val="001108EE"/>
    <w:rsid w:val="0011093A"/>
    <w:rsid w:val="0011589E"/>
    <w:rsid w:val="00121CFF"/>
    <w:rsid w:val="00125E43"/>
    <w:rsid w:val="0012644B"/>
    <w:rsid w:val="00126C0A"/>
    <w:rsid w:val="00126CDB"/>
    <w:rsid w:val="00127026"/>
    <w:rsid w:val="001307AC"/>
    <w:rsid w:val="00133CE3"/>
    <w:rsid w:val="001354EB"/>
    <w:rsid w:val="00136549"/>
    <w:rsid w:val="00137E4C"/>
    <w:rsid w:val="00141580"/>
    <w:rsid w:val="0014788B"/>
    <w:rsid w:val="00147BE0"/>
    <w:rsid w:val="001523F2"/>
    <w:rsid w:val="00155DFB"/>
    <w:rsid w:val="0016131D"/>
    <w:rsid w:val="001627A1"/>
    <w:rsid w:val="00163AA1"/>
    <w:rsid w:val="00171A5C"/>
    <w:rsid w:val="00174248"/>
    <w:rsid w:val="00174CD8"/>
    <w:rsid w:val="00174F7E"/>
    <w:rsid w:val="00176B46"/>
    <w:rsid w:val="00186FDA"/>
    <w:rsid w:val="00190F2A"/>
    <w:rsid w:val="0019393A"/>
    <w:rsid w:val="00193BC7"/>
    <w:rsid w:val="001A37F0"/>
    <w:rsid w:val="001A6726"/>
    <w:rsid w:val="001A6BFD"/>
    <w:rsid w:val="001B03D0"/>
    <w:rsid w:val="001B1345"/>
    <w:rsid w:val="001B4BBF"/>
    <w:rsid w:val="001C61CE"/>
    <w:rsid w:val="001D114C"/>
    <w:rsid w:val="001D411E"/>
    <w:rsid w:val="001D5B31"/>
    <w:rsid w:val="001D7FFB"/>
    <w:rsid w:val="001E241B"/>
    <w:rsid w:val="001E254B"/>
    <w:rsid w:val="001E66AC"/>
    <w:rsid w:val="001E76CA"/>
    <w:rsid w:val="001E76D1"/>
    <w:rsid w:val="001F3725"/>
    <w:rsid w:val="00201415"/>
    <w:rsid w:val="002036E3"/>
    <w:rsid w:val="002042BE"/>
    <w:rsid w:val="00205C00"/>
    <w:rsid w:val="002068A8"/>
    <w:rsid w:val="00206DFB"/>
    <w:rsid w:val="00207566"/>
    <w:rsid w:val="00210060"/>
    <w:rsid w:val="002103D1"/>
    <w:rsid w:val="002113C9"/>
    <w:rsid w:val="00216727"/>
    <w:rsid w:val="00221ECF"/>
    <w:rsid w:val="00225335"/>
    <w:rsid w:val="0022645A"/>
    <w:rsid w:val="00230E97"/>
    <w:rsid w:val="00232A58"/>
    <w:rsid w:val="002337CC"/>
    <w:rsid w:val="00233AEA"/>
    <w:rsid w:val="00234D30"/>
    <w:rsid w:val="0023607C"/>
    <w:rsid w:val="00237612"/>
    <w:rsid w:val="00237C38"/>
    <w:rsid w:val="00241839"/>
    <w:rsid w:val="00241F01"/>
    <w:rsid w:val="00244913"/>
    <w:rsid w:val="00244E8C"/>
    <w:rsid w:val="00245C9B"/>
    <w:rsid w:val="00245CBA"/>
    <w:rsid w:val="0025550C"/>
    <w:rsid w:val="00256942"/>
    <w:rsid w:val="002575FC"/>
    <w:rsid w:val="00260C29"/>
    <w:rsid w:val="00262D26"/>
    <w:rsid w:val="0026746B"/>
    <w:rsid w:val="0027043D"/>
    <w:rsid w:val="002707F6"/>
    <w:rsid w:val="0027398E"/>
    <w:rsid w:val="002744E3"/>
    <w:rsid w:val="00277E59"/>
    <w:rsid w:val="00280E9C"/>
    <w:rsid w:val="002813C7"/>
    <w:rsid w:val="00290D31"/>
    <w:rsid w:val="00290F35"/>
    <w:rsid w:val="00295CF6"/>
    <w:rsid w:val="00295E41"/>
    <w:rsid w:val="002A0867"/>
    <w:rsid w:val="002A0D42"/>
    <w:rsid w:val="002A5198"/>
    <w:rsid w:val="002A6FF5"/>
    <w:rsid w:val="002B0B71"/>
    <w:rsid w:val="002B372C"/>
    <w:rsid w:val="002B424F"/>
    <w:rsid w:val="002B540E"/>
    <w:rsid w:val="002B588E"/>
    <w:rsid w:val="002B5A5E"/>
    <w:rsid w:val="002B6B0C"/>
    <w:rsid w:val="002B7357"/>
    <w:rsid w:val="002B7977"/>
    <w:rsid w:val="002C2344"/>
    <w:rsid w:val="002C3E2B"/>
    <w:rsid w:val="002C5381"/>
    <w:rsid w:val="002C5A19"/>
    <w:rsid w:val="002C6FAA"/>
    <w:rsid w:val="002D4BA1"/>
    <w:rsid w:val="002D5A32"/>
    <w:rsid w:val="002E49E3"/>
    <w:rsid w:val="002E508F"/>
    <w:rsid w:val="002E50DC"/>
    <w:rsid w:val="002E66FD"/>
    <w:rsid w:val="002E676B"/>
    <w:rsid w:val="002E79E0"/>
    <w:rsid w:val="0030135C"/>
    <w:rsid w:val="00303DE5"/>
    <w:rsid w:val="0030619F"/>
    <w:rsid w:val="00312669"/>
    <w:rsid w:val="0031706E"/>
    <w:rsid w:val="00320A70"/>
    <w:rsid w:val="00322208"/>
    <w:rsid w:val="003264E6"/>
    <w:rsid w:val="00327739"/>
    <w:rsid w:val="00345211"/>
    <w:rsid w:val="00347515"/>
    <w:rsid w:val="00347949"/>
    <w:rsid w:val="0035069F"/>
    <w:rsid w:val="00352239"/>
    <w:rsid w:val="0035347C"/>
    <w:rsid w:val="0035366D"/>
    <w:rsid w:val="00353811"/>
    <w:rsid w:val="0036419A"/>
    <w:rsid w:val="00364B61"/>
    <w:rsid w:val="00367C0C"/>
    <w:rsid w:val="00372083"/>
    <w:rsid w:val="00380BF3"/>
    <w:rsid w:val="00383117"/>
    <w:rsid w:val="00384E49"/>
    <w:rsid w:val="00391B64"/>
    <w:rsid w:val="003A0156"/>
    <w:rsid w:val="003A3EF7"/>
    <w:rsid w:val="003B1773"/>
    <w:rsid w:val="003C325A"/>
    <w:rsid w:val="003C5F9E"/>
    <w:rsid w:val="003C7108"/>
    <w:rsid w:val="003E2BEA"/>
    <w:rsid w:val="003E4351"/>
    <w:rsid w:val="003E48C0"/>
    <w:rsid w:val="003E7276"/>
    <w:rsid w:val="003F1D5C"/>
    <w:rsid w:val="003F3B3E"/>
    <w:rsid w:val="003F3B9C"/>
    <w:rsid w:val="003F6535"/>
    <w:rsid w:val="003F72B6"/>
    <w:rsid w:val="0040229F"/>
    <w:rsid w:val="00403735"/>
    <w:rsid w:val="00404960"/>
    <w:rsid w:val="00407961"/>
    <w:rsid w:val="0041155F"/>
    <w:rsid w:val="004123FA"/>
    <w:rsid w:val="00412889"/>
    <w:rsid w:val="00413FEB"/>
    <w:rsid w:val="00417C75"/>
    <w:rsid w:val="00422B40"/>
    <w:rsid w:val="004250E7"/>
    <w:rsid w:val="00425666"/>
    <w:rsid w:val="00431238"/>
    <w:rsid w:val="004323D2"/>
    <w:rsid w:val="00436295"/>
    <w:rsid w:val="0043733F"/>
    <w:rsid w:val="00441072"/>
    <w:rsid w:val="0044146F"/>
    <w:rsid w:val="00447739"/>
    <w:rsid w:val="004627A5"/>
    <w:rsid w:val="0046654E"/>
    <w:rsid w:val="00466BCE"/>
    <w:rsid w:val="00473C64"/>
    <w:rsid w:val="00474971"/>
    <w:rsid w:val="00476BCF"/>
    <w:rsid w:val="00491A36"/>
    <w:rsid w:val="00494948"/>
    <w:rsid w:val="00496F49"/>
    <w:rsid w:val="00497F1D"/>
    <w:rsid w:val="004A3A76"/>
    <w:rsid w:val="004A55AD"/>
    <w:rsid w:val="004A57AB"/>
    <w:rsid w:val="004B0421"/>
    <w:rsid w:val="004B057E"/>
    <w:rsid w:val="004B0ADF"/>
    <w:rsid w:val="004B18EE"/>
    <w:rsid w:val="004B33EE"/>
    <w:rsid w:val="004B4BFD"/>
    <w:rsid w:val="004B4C1F"/>
    <w:rsid w:val="004B57B3"/>
    <w:rsid w:val="004B7AE7"/>
    <w:rsid w:val="004C1DD7"/>
    <w:rsid w:val="004C1F47"/>
    <w:rsid w:val="004C4C95"/>
    <w:rsid w:val="004C648C"/>
    <w:rsid w:val="004C7AFA"/>
    <w:rsid w:val="004D180B"/>
    <w:rsid w:val="004D3743"/>
    <w:rsid w:val="004D466D"/>
    <w:rsid w:val="004D55E0"/>
    <w:rsid w:val="004D5CD0"/>
    <w:rsid w:val="004D7FCF"/>
    <w:rsid w:val="004E7C53"/>
    <w:rsid w:val="004F400B"/>
    <w:rsid w:val="004F61AF"/>
    <w:rsid w:val="004F6638"/>
    <w:rsid w:val="004F6B5C"/>
    <w:rsid w:val="0050162B"/>
    <w:rsid w:val="00502C83"/>
    <w:rsid w:val="005037A8"/>
    <w:rsid w:val="00505C7A"/>
    <w:rsid w:val="00507B4A"/>
    <w:rsid w:val="005100DA"/>
    <w:rsid w:val="00511274"/>
    <w:rsid w:val="005214FF"/>
    <w:rsid w:val="00521CBF"/>
    <w:rsid w:val="00522187"/>
    <w:rsid w:val="005222AF"/>
    <w:rsid w:val="00531396"/>
    <w:rsid w:val="005317F9"/>
    <w:rsid w:val="0053641C"/>
    <w:rsid w:val="005400F6"/>
    <w:rsid w:val="00546690"/>
    <w:rsid w:val="005540A0"/>
    <w:rsid w:val="00555DE3"/>
    <w:rsid w:val="00556D09"/>
    <w:rsid w:val="0057191C"/>
    <w:rsid w:val="00571AB1"/>
    <w:rsid w:val="00575E96"/>
    <w:rsid w:val="00576E18"/>
    <w:rsid w:val="0058075B"/>
    <w:rsid w:val="00586119"/>
    <w:rsid w:val="005910E2"/>
    <w:rsid w:val="00596A4A"/>
    <w:rsid w:val="005A3076"/>
    <w:rsid w:val="005A3956"/>
    <w:rsid w:val="005A4538"/>
    <w:rsid w:val="005A7DFA"/>
    <w:rsid w:val="005C048C"/>
    <w:rsid w:val="005C3423"/>
    <w:rsid w:val="005C4807"/>
    <w:rsid w:val="005C5405"/>
    <w:rsid w:val="005C5435"/>
    <w:rsid w:val="005C61C0"/>
    <w:rsid w:val="005C6A8F"/>
    <w:rsid w:val="005D052E"/>
    <w:rsid w:val="005D7AAB"/>
    <w:rsid w:val="005E308D"/>
    <w:rsid w:val="005E657D"/>
    <w:rsid w:val="005F335D"/>
    <w:rsid w:val="005F45FE"/>
    <w:rsid w:val="005F7FD5"/>
    <w:rsid w:val="006034CE"/>
    <w:rsid w:val="00603DB9"/>
    <w:rsid w:val="00604853"/>
    <w:rsid w:val="00610D43"/>
    <w:rsid w:val="00622326"/>
    <w:rsid w:val="006269F3"/>
    <w:rsid w:val="00632493"/>
    <w:rsid w:val="00632B1A"/>
    <w:rsid w:val="00640F23"/>
    <w:rsid w:val="00641846"/>
    <w:rsid w:val="00641C3D"/>
    <w:rsid w:val="00641F8B"/>
    <w:rsid w:val="00650B93"/>
    <w:rsid w:val="00650C6F"/>
    <w:rsid w:val="00651DEB"/>
    <w:rsid w:val="00653FAF"/>
    <w:rsid w:val="006541F1"/>
    <w:rsid w:val="00660DC8"/>
    <w:rsid w:val="00667300"/>
    <w:rsid w:val="0066751A"/>
    <w:rsid w:val="00667993"/>
    <w:rsid w:val="00670E0F"/>
    <w:rsid w:val="00674FCF"/>
    <w:rsid w:val="00675C01"/>
    <w:rsid w:val="006762D5"/>
    <w:rsid w:val="00677684"/>
    <w:rsid w:val="00683F30"/>
    <w:rsid w:val="00684416"/>
    <w:rsid w:val="00686FC3"/>
    <w:rsid w:val="0069221C"/>
    <w:rsid w:val="006929FB"/>
    <w:rsid w:val="006938FF"/>
    <w:rsid w:val="00694319"/>
    <w:rsid w:val="00697722"/>
    <w:rsid w:val="006A579E"/>
    <w:rsid w:val="006B153B"/>
    <w:rsid w:val="006B3991"/>
    <w:rsid w:val="006C2B32"/>
    <w:rsid w:val="006C2E40"/>
    <w:rsid w:val="006C7906"/>
    <w:rsid w:val="006D0488"/>
    <w:rsid w:val="006D1EB8"/>
    <w:rsid w:val="006E1154"/>
    <w:rsid w:val="006E298B"/>
    <w:rsid w:val="006E5BFB"/>
    <w:rsid w:val="006E6E49"/>
    <w:rsid w:val="006F0796"/>
    <w:rsid w:val="006F2A1F"/>
    <w:rsid w:val="006F32E4"/>
    <w:rsid w:val="006F4F2E"/>
    <w:rsid w:val="006F5006"/>
    <w:rsid w:val="006F51E3"/>
    <w:rsid w:val="006F5AAB"/>
    <w:rsid w:val="006F687E"/>
    <w:rsid w:val="00700E5A"/>
    <w:rsid w:val="00703D7D"/>
    <w:rsid w:val="00705F8F"/>
    <w:rsid w:val="007100D8"/>
    <w:rsid w:val="00710DD9"/>
    <w:rsid w:val="00730437"/>
    <w:rsid w:val="0073099B"/>
    <w:rsid w:val="00730B8E"/>
    <w:rsid w:val="00732B6B"/>
    <w:rsid w:val="00736DAC"/>
    <w:rsid w:val="00745602"/>
    <w:rsid w:val="00745FA3"/>
    <w:rsid w:val="00750F8A"/>
    <w:rsid w:val="007529CD"/>
    <w:rsid w:val="00753632"/>
    <w:rsid w:val="0075446A"/>
    <w:rsid w:val="00755E35"/>
    <w:rsid w:val="007603C7"/>
    <w:rsid w:val="0076290D"/>
    <w:rsid w:val="00763E69"/>
    <w:rsid w:val="007704C5"/>
    <w:rsid w:val="00773371"/>
    <w:rsid w:val="00780920"/>
    <w:rsid w:val="00781D0F"/>
    <w:rsid w:val="00782836"/>
    <w:rsid w:val="0078653C"/>
    <w:rsid w:val="0079152E"/>
    <w:rsid w:val="00791AC7"/>
    <w:rsid w:val="00794F76"/>
    <w:rsid w:val="007A0819"/>
    <w:rsid w:val="007A1655"/>
    <w:rsid w:val="007A2833"/>
    <w:rsid w:val="007A3481"/>
    <w:rsid w:val="007A4BF6"/>
    <w:rsid w:val="007B1175"/>
    <w:rsid w:val="007B281E"/>
    <w:rsid w:val="007B4D4F"/>
    <w:rsid w:val="007C6064"/>
    <w:rsid w:val="007C7F1F"/>
    <w:rsid w:val="007D0272"/>
    <w:rsid w:val="007D2143"/>
    <w:rsid w:val="007D4F74"/>
    <w:rsid w:val="007E002B"/>
    <w:rsid w:val="007E20EF"/>
    <w:rsid w:val="007F3919"/>
    <w:rsid w:val="007F4CB8"/>
    <w:rsid w:val="007F52B9"/>
    <w:rsid w:val="007F7973"/>
    <w:rsid w:val="008012CC"/>
    <w:rsid w:val="0080346C"/>
    <w:rsid w:val="00803C87"/>
    <w:rsid w:val="008127EB"/>
    <w:rsid w:val="0081452F"/>
    <w:rsid w:val="008161A4"/>
    <w:rsid w:val="00822B8C"/>
    <w:rsid w:val="00823CEF"/>
    <w:rsid w:val="00830440"/>
    <w:rsid w:val="0083045E"/>
    <w:rsid w:val="00830E2A"/>
    <w:rsid w:val="00833511"/>
    <w:rsid w:val="00835057"/>
    <w:rsid w:val="008375F0"/>
    <w:rsid w:val="008443BB"/>
    <w:rsid w:val="00844829"/>
    <w:rsid w:val="00845ED2"/>
    <w:rsid w:val="00847CDD"/>
    <w:rsid w:val="00850731"/>
    <w:rsid w:val="008535B3"/>
    <w:rsid w:val="00853F6B"/>
    <w:rsid w:val="00854582"/>
    <w:rsid w:val="00854C1E"/>
    <w:rsid w:val="008555D5"/>
    <w:rsid w:val="00857E88"/>
    <w:rsid w:val="00860EBC"/>
    <w:rsid w:val="00861769"/>
    <w:rsid w:val="00861B4F"/>
    <w:rsid w:val="00863ECD"/>
    <w:rsid w:val="008659A3"/>
    <w:rsid w:val="00865EE0"/>
    <w:rsid w:val="00865F70"/>
    <w:rsid w:val="00870047"/>
    <w:rsid w:val="0087123C"/>
    <w:rsid w:val="00875D96"/>
    <w:rsid w:val="00875E6E"/>
    <w:rsid w:val="00876B53"/>
    <w:rsid w:val="008803A8"/>
    <w:rsid w:val="0088717D"/>
    <w:rsid w:val="0089726C"/>
    <w:rsid w:val="00897B5B"/>
    <w:rsid w:val="008A1283"/>
    <w:rsid w:val="008A3C5B"/>
    <w:rsid w:val="008A7EAC"/>
    <w:rsid w:val="008B0411"/>
    <w:rsid w:val="008B22C4"/>
    <w:rsid w:val="008B330E"/>
    <w:rsid w:val="008B4A75"/>
    <w:rsid w:val="008B7AB3"/>
    <w:rsid w:val="008C1AF1"/>
    <w:rsid w:val="008C7413"/>
    <w:rsid w:val="008D0FEA"/>
    <w:rsid w:val="008D2A02"/>
    <w:rsid w:val="008D2DF6"/>
    <w:rsid w:val="008D3DFB"/>
    <w:rsid w:val="008D4250"/>
    <w:rsid w:val="008E292C"/>
    <w:rsid w:val="008E45B0"/>
    <w:rsid w:val="008E4C5C"/>
    <w:rsid w:val="008E664F"/>
    <w:rsid w:val="008F5FD8"/>
    <w:rsid w:val="008F7090"/>
    <w:rsid w:val="00900E75"/>
    <w:rsid w:val="00901B3B"/>
    <w:rsid w:val="00904487"/>
    <w:rsid w:val="009044D6"/>
    <w:rsid w:val="0090493E"/>
    <w:rsid w:val="009051BE"/>
    <w:rsid w:val="00907153"/>
    <w:rsid w:val="00914894"/>
    <w:rsid w:val="00920019"/>
    <w:rsid w:val="00923CE0"/>
    <w:rsid w:val="00923DF2"/>
    <w:rsid w:val="00925A97"/>
    <w:rsid w:val="00932290"/>
    <w:rsid w:val="00933873"/>
    <w:rsid w:val="00935D59"/>
    <w:rsid w:val="00942E24"/>
    <w:rsid w:val="00942E9B"/>
    <w:rsid w:val="00945965"/>
    <w:rsid w:val="00950505"/>
    <w:rsid w:val="00954D9B"/>
    <w:rsid w:val="0095505B"/>
    <w:rsid w:val="0095704A"/>
    <w:rsid w:val="00957AB6"/>
    <w:rsid w:val="00965480"/>
    <w:rsid w:val="00970599"/>
    <w:rsid w:val="009730AB"/>
    <w:rsid w:val="0097391C"/>
    <w:rsid w:val="00976F2F"/>
    <w:rsid w:val="00981B40"/>
    <w:rsid w:val="00983CB5"/>
    <w:rsid w:val="00984421"/>
    <w:rsid w:val="009865C3"/>
    <w:rsid w:val="00986A57"/>
    <w:rsid w:val="00987ECE"/>
    <w:rsid w:val="00992D5A"/>
    <w:rsid w:val="00993087"/>
    <w:rsid w:val="009A4CBD"/>
    <w:rsid w:val="009B0795"/>
    <w:rsid w:val="009B1C4B"/>
    <w:rsid w:val="009B2B23"/>
    <w:rsid w:val="009B770B"/>
    <w:rsid w:val="009B7C8E"/>
    <w:rsid w:val="009B7DE7"/>
    <w:rsid w:val="009C1135"/>
    <w:rsid w:val="009C1B7A"/>
    <w:rsid w:val="009C470F"/>
    <w:rsid w:val="009C57C7"/>
    <w:rsid w:val="009C5C2F"/>
    <w:rsid w:val="009C726B"/>
    <w:rsid w:val="009D0991"/>
    <w:rsid w:val="009D0A31"/>
    <w:rsid w:val="009D1714"/>
    <w:rsid w:val="009D43B6"/>
    <w:rsid w:val="009D482C"/>
    <w:rsid w:val="009D53B0"/>
    <w:rsid w:val="009E07F8"/>
    <w:rsid w:val="009E2E77"/>
    <w:rsid w:val="009F1F3E"/>
    <w:rsid w:val="009F2528"/>
    <w:rsid w:val="009F39BD"/>
    <w:rsid w:val="009F56A4"/>
    <w:rsid w:val="009F6BAE"/>
    <w:rsid w:val="00A00645"/>
    <w:rsid w:val="00A012E3"/>
    <w:rsid w:val="00A0193D"/>
    <w:rsid w:val="00A1339D"/>
    <w:rsid w:val="00A15A97"/>
    <w:rsid w:val="00A1628D"/>
    <w:rsid w:val="00A17151"/>
    <w:rsid w:val="00A17650"/>
    <w:rsid w:val="00A20E6B"/>
    <w:rsid w:val="00A26746"/>
    <w:rsid w:val="00A26BE5"/>
    <w:rsid w:val="00A366E2"/>
    <w:rsid w:val="00A4649E"/>
    <w:rsid w:val="00A46CE0"/>
    <w:rsid w:val="00A47FA0"/>
    <w:rsid w:val="00A54AF8"/>
    <w:rsid w:val="00A55558"/>
    <w:rsid w:val="00A56241"/>
    <w:rsid w:val="00A5645E"/>
    <w:rsid w:val="00A71CD3"/>
    <w:rsid w:val="00A72B44"/>
    <w:rsid w:val="00A72F91"/>
    <w:rsid w:val="00A75A61"/>
    <w:rsid w:val="00A8077D"/>
    <w:rsid w:val="00A81167"/>
    <w:rsid w:val="00A817FE"/>
    <w:rsid w:val="00A83937"/>
    <w:rsid w:val="00A84703"/>
    <w:rsid w:val="00A92C7F"/>
    <w:rsid w:val="00AA1096"/>
    <w:rsid w:val="00AA2BCB"/>
    <w:rsid w:val="00AA2F69"/>
    <w:rsid w:val="00AB1E25"/>
    <w:rsid w:val="00AB540D"/>
    <w:rsid w:val="00AC4D6A"/>
    <w:rsid w:val="00AD1BCB"/>
    <w:rsid w:val="00AD56F4"/>
    <w:rsid w:val="00AE1C71"/>
    <w:rsid w:val="00AE1CBF"/>
    <w:rsid w:val="00AE26C5"/>
    <w:rsid w:val="00AE4EE0"/>
    <w:rsid w:val="00AE5039"/>
    <w:rsid w:val="00AE5C0D"/>
    <w:rsid w:val="00AF2AD1"/>
    <w:rsid w:val="00AF4787"/>
    <w:rsid w:val="00AF6FA5"/>
    <w:rsid w:val="00B0104A"/>
    <w:rsid w:val="00B03314"/>
    <w:rsid w:val="00B0514D"/>
    <w:rsid w:val="00B06463"/>
    <w:rsid w:val="00B06ED9"/>
    <w:rsid w:val="00B139F4"/>
    <w:rsid w:val="00B15BFF"/>
    <w:rsid w:val="00B2084D"/>
    <w:rsid w:val="00B21095"/>
    <w:rsid w:val="00B233E8"/>
    <w:rsid w:val="00B234A8"/>
    <w:rsid w:val="00B247A9"/>
    <w:rsid w:val="00B27016"/>
    <w:rsid w:val="00B31734"/>
    <w:rsid w:val="00B31DF0"/>
    <w:rsid w:val="00B32F61"/>
    <w:rsid w:val="00B351FE"/>
    <w:rsid w:val="00B35382"/>
    <w:rsid w:val="00B37D19"/>
    <w:rsid w:val="00B415BB"/>
    <w:rsid w:val="00B42606"/>
    <w:rsid w:val="00B47266"/>
    <w:rsid w:val="00B518A0"/>
    <w:rsid w:val="00B61514"/>
    <w:rsid w:val="00B616AD"/>
    <w:rsid w:val="00B62683"/>
    <w:rsid w:val="00B64EB9"/>
    <w:rsid w:val="00B65C60"/>
    <w:rsid w:val="00B67E65"/>
    <w:rsid w:val="00B709EF"/>
    <w:rsid w:val="00B70B51"/>
    <w:rsid w:val="00B72358"/>
    <w:rsid w:val="00B725CC"/>
    <w:rsid w:val="00B72C07"/>
    <w:rsid w:val="00B87886"/>
    <w:rsid w:val="00B87CA6"/>
    <w:rsid w:val="00B919EF"/>
    <w:rsid w:val="00B95B59"/>
    <w:rsid w:val="00BA2988"/>
    <w:rsid w:val="00BA4FDB"/>
    <w:rsid w:val="00BA7E31"/>
    <w:rsid w:val="00BB5F4E"/>
    <w:rsid w:val="00BD13D1"/>
    <w:rsid w:val="00BD5E93"/>
    <w:rsid w:val="00BD64A0"/>
    <w:rsid w:val="00BE287B"/>
    <w:rsid w:val="00BE2D11"/>
    <w:rsid w:val="00BE471A"/>
    <w:rsid w:val="00BE5E4A"/>
    <w:rsid w:val="00BE63C6"/>
    <w:rsid w:val="00BE6602"/>
    <w:rsid w:val="00BE6B10"/>
    <w:rsid w:val="00BF0AB9"/>
    <w:rsid w:val="00BF0B51"/>
    <w:rsid w:val="00BF1EFF"/>
    <w:rsid w:val="00C01316"/>
    <w:rsid w:val="00C26FFB"/>
    <w:rsid w:val="00C273F4"/>
    <w:rsid w:val="00C27448"/>
    <w:rsid w:val="00C279EA"/>
    <w:rsid w:val="00C27DEF"/>
    <w:rsid w:val="00C3200E"/>
    <w:rsid w:val="00C327EA"/>
    <w:rsid w:val="00C32C14"/>
    <w:rsid w:val="00C3751F"/>
    <w:rsid w:val="00C4433D"/>
    <w:rsid w:val="00C478E4"/>
    <w:rsid w:val="00C51FDF"/>
    <w:rsid w:val="00C52867"/>
    <w:rsid w:val="00C541E7"/>
    <w:rsid w:val="00C55515"/>
    <w:rsid w:val="00C55E66"/>
    <w:rsid w:val="00C626D8"/>
    <w:rsid w:val="00C63A30"/>
    <w:rsid w:val="00C663E4"/>
    <w:rsid w:val="00C713B9"/>
    <w:rsid w:val="00C71821"/>
    <w:rsid w:val="00C71B01"/>
    <w:rsid w:val="00C71F9A"/>
    <w:rsid w:val="00C72E81"/>
    <w:rsid w:val="00C74143"/>
    <w:rsid w:val="00C745BD"/>
    <w:rsid w:val="00C82644"/>
    <w:rsid w:val="00C82DB0"/>
    <w:rsid w:val="00C85A83"/>
    <w:rsid w:val="00C85AA8"/>
    <w:rsid w:val="00C86972"/>
    <w:rsid w:val="00C913FB"/>
    <w:rsid w:val="00C917FF"/>
    <w:rsid w:val="00C93EE8"/>
    <w:rsid w:val="00C94196"/>
    <w:rsid w:val="00CA2B59"/>
    <w:rsid w:val="00CA391F"/>
    <w:rsid w:val="00CA3A7D"/>
    <w:rsid w:val="00CA3B5A"/>
    <w:rsid w:val="00CA468B"/>
    <w:rsid w:val="00CB122B"/>
    <w:rsid w:val="00CB36DA"/>
    <w:rsid w:val="00CB4977"/>
    <w:rsid w:val="00CC0DCF"/>
    <w:rsid w:val="00CC0EFE"/>
    <w:rsid w:val="00CC102E"/>
    <w:rsid w:val="00CC3B51"/>
    <w:rsid w:val="00CC3B61"/>
    <w:rsid w:val="00CD030E"/>
    <w:rsid w:val="00CD0CC2"/>
    <w:rsid w:val="00CD0F0D"/>
    <w:rsid w:val="00CD4DEB"/>
    <w:rsid w:val="00CD6F89"/>
    <w:rsid w:val="00CF0C60"/>
    <w:rsid w:val="00CF27A2"/>
    <w:rsid w:val="00CF3B65"/>
    <w:rsid w:val="00CF4557"/>
    <w:rsid w:val="00D020DE"/>
    <w:rsid w:val="00D07CD1"/>
    <w:rsid w:val="00D07E49"/>
    <w:rsid w:val="00D15CEA"/>
    <w:rsid w:val="00D176B3"/>
    <w:rsid w:val="00D20911"/>
    <w:rsid w:val="00D338EB"/>
    <w:rsid w:val="00D37558"/>
    <w:rsid w:val="00D44236"/>
    <w:rsid w:val="00D451FE"/>
    <w:rsid w:val="00D5010E"/>
    <w:rsid w:val="00D5073F"/>
    <w:rsid w:val="00D53CA9"/>
    <w:rsid w:val="00D61C78"/>
    <w:rsid w:val="00D61F97"/>
    <w:rsid w:val="00D625C3"/>
    <w:rsid w:val="00D67520"/>
    <w:rsid w:val="00D7276D"/>
    <w:rsid w:val="00D74637"/>
    <w:rsid w:val="00D74E9D"/>
    <w:rsid w:val="00D7508E"/>
    <w:rsid w:val="00D826AF"/>
    <w:rsid w:val="00D8343B"/>
    <w:rsid w:val="00D85E65"/>
    <w:rsid w:val="00D87E0E"/>
    <w:rsid w:val="00D95814"/>
    <w:rsid w:val="00DA7ACA"/>
    <w:rsid w:val="00DA7B17"/>
    <w:rsid w:val="00DB1967"/>
    <w:rsid w:val="00DB507C"/>
    <w:rsid w:val="00DB7C53"/>
    <w:rsid w:val="00DC51D4"/>
    <w:rsid w:val="00DC7D77"/>
    <w:rsid w:val="00DD3DA2"/>
    <w:rsid w:val="00DD3DBC"/>
    <w:rsid w:val="00DE2709"/>
    <w:rsid w:val="00DE3231"/>
    <w:rsid w:val="00DE610A"/>
    <w:rsid w:val="00DE653A"/>
    <w:rsid w:val="00DF1329"/>
    <w:rsid w:val="00DF17E1"/>
    <w:rsid w:val="00DF1BD2"/>
    <w:rsid w:val="00DF3EC8"/>
    <w:rsid w:val="00DF4F49"/>
    <w:rsid w:val="00DF57E2"/>
    <w:rsid w:val="00E000E5"/>
    <w:rsid w:val="00E00A71"/>
    <w:rsid w:val="00E02EE6"/>
    <w:rsid w:val="00E0459E"/>
    <w:rsid w:val="00E138FB"/>
    <w:rsid w:val="00E14B75"/>
    <w:rsid w:val="00E15FD1"/>
    <w:rsid w:val="00E17EEA"/>
    <w:rsid w:val="00E2014D"/>
    <w:rsid w:val="00E20D35"/>
    <w:rsid w:val="00E26C97"/>
    <w:rsid w:val="00E363A0"/>
    <w:rsid w:val="00E420B2"/>
    <w:rsid w:val="00E4672F"/>
    <w:rsid w:val="00E614C9"/>
    <w:rsid w:val="00E62129"/>
    <w:rsid w:val="00E72FC9"/>
    <w:rsid w:val="00E75A2B"/>
    <w:rsid w:val="00E83965"/>
    <w:rsid w:val="00E841FE"/>
    <w:rsid w:val="00E853C2"/>
    <w:rsid w:val="00E85978"/>
    <w:rsid w:val="00E87D74"/>
    <w:rsid w:val="00E90773"/>
    <w:rsid w:val="00E92F69"/>
    <w:rsid w:val="00E940DF"/>
    <w:rsid w:val="00E955C1"/>
    <w:rsid w:val="00E97715"/>
    <w:rsid w:val="00EA0AF7"/>
    <w:rsid w:val="00EA1D87"/>
    <w:rsid w:val="00EA7141"/>
    <w:rsid w:val="00EB0190"/>
    <w:rsid w:val="00EB7436"/>
    <w:rsid w:val="00EC0474"/>
    <w:rsid w:val="00EC3C4F"/>
    <w:rsid w:val="00EC6575"/>
    <w:rsid w:val="00EC687D"/>
    <w:rsid w:val="00EC7A6C"/>
    <w:rsid w:val="00ED0C44"/>
    <w:rsid w:val="00ED2938"/>
    <w:rsid w:val="00ED4920"/>
    <w:rsid w:val="00ED78D2"/>
    <w:rsid w:val="00EE3152"/>
    <w:rsid w:val="00EE42E7"/>
    <w:rsid w:val="00EE6ACE"/>
    <w:rsid w:val="00EE7EDD"/>
    <w:rsid w:val="00EF1B17"/>
    <w:rsid w:val="00EF1DE1"/>
    <w:rsid w:val="00EF37F2"/>
    <w:rsid w:val="00EF6E32"/>
    <w:rsid w:val="00F01688"/>
    <w:rsid w:val="00F0456C"/>
    <w:rsid w:val="00F06792"/>
    <w:rsid w:val="00F12FFB"/>
    <w:rsid w:val="00F17BDF"/>
    <w:rsid w:val="00F22297"/>
    <w:rsid w:val="00F27581"/>
    <w:rsid w:val="00F37035"/>
    <w:rsid w:val="00F40A60"/>
    <w:rsid w:val="00F46A0B"/>
    <w:rsid w:val="00F52519"/>
    <w:rsid w:val="00F53120"/>
    <w:rsid w:val="00F54F39"/>
    <w:rsid w:val="00F56372"/>
    <w:rsid w:val="00F56D9C"/>
    <w:rsid w:val="00F6153D"/>
    <w:rsid w:val="00F639B0"/>
    <w:rsid w:val="00F6419A"/>
    <w:rsid w:val="00F65FA1"/>
    <w:rsid w:val="00F67863"/>
    <w:rsid w:val="00F71D81"/>
    <w:rsid w:val="00F74E34"/>
    <w:rsid w:val="00F80221"/>
    <w:rsid w:val="00F8165C"/>
    <w:rsid w:val="00F8240A"/>
    <w:rsid w:val="00F8249B"/>
    <w:rsid w:val="00F863DE"/>
    <w:rsid w:val="00F87734"/>
    <w:rsid w:val="00F94678"/>
    <w:rsid w:val="00F9577B"/>
    <w:rsid w:val="00F96094"/>
    <w:rsid w:val="00F9675B"/>
    <w:rsid w:val="00F97625"/>
    <w:rsid w:val="00FA2589"/>
    <w:rsid w:val="00FA3082"/>
    <w:rsid w:val="00FB0BCC"/>
    <w:rsid w:val="00FB189D"/>
    <w:rsid w:val="00FB1F54"/>
    <w:rsid w:val="00FB3415"/>
    <w:rsid w:val="00FB3F37"/>
    <w:rsid w:val="00FB6446"/>
    <w:rsid w:val="00FC0313"/>
    <w:rsid w:val="00FC343A"/>
    <w:rsid w:val="00FC57A0"/>
    <w:rsid w:val="00FC76ED"/>
    <w:rsid w:val="00FD1C0E"/>
    <w:rsid w:val="00FD5C6F"/>
    <w:rsid w:val="00FD7D62"/>
    <w:rsid w:val="00FE1A4D"/>
    <w:rsid w:val="00FE4B5C"/>
    <w:rsid w:val="00FE62CB"/>
    <w:rsid w:val="00FF402B"/>
    <w:rsid w:val="00FF5074"/>
    <w:rsid w:val="00FF6539"/>
    <w:rsid w:val="00FF674D"/>
    <w:rsid w:val="00FF69FB"/>
    <w:rsid w:val="00FF76B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2442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4DEB"/>
    <w:rPr>
      <w:color w:val="0000FF" w:themeColor="hyperlink"/>
      <w:u w:val="single"/>
    </w:rPr>
  </w:style>
  <w:style w:type="paragraph" w:styleId="Notedebasdepage">
    <w:name w:val="footnote text"/>
    <w:basedOn w:val="Normal"/>
    <w:link w:val="NotedebasdepageCar"/>
    <w:uiPriority w:val="99"/>
    <w:unhideWhenUsed/>
    <w:rsid w:val="008A7EAC"/>
  </w:style>
  <w:style w:type="character" w:customStyle="1" w:styleId="NotedebasdepageCar">
    <w:name w:val="Note de bas de page Car"/>
    <w:basedOn w:val="Policepardfaut"/>
    <w:link w:val="Notedebasdepage"/>
    <w:uiPriority w:val="99"/>
    <w:rsid w:val="008A7EAC"/>
  </w:style>
  <w:style w:type="character" w:styleId="Marquenotebasdepage">
    <w:name w:val="footnote reference"/>
    <w:basedOn w:val="Policepardfaut"/>
    <w:uiPriority w:val="99"/>
    <w:unhideWhenUsed/>
    <w:rsid w:val="008A7EAC"/>
    <w:rPr>
      <w:vertAlign w:val="superscript"/>
    </w:rPr>
  </w:style>
  <w:style w:type="paragraph" w:styleId="Pieddepage">
    <w:name w:val="footer"/>
    <w:basedOn w:val="Normal"/>
    <w:link w:val="PieddepageCar"/>
    <w:uiPriority w:val="99"/>
    <w:unhideWhenUsed/>
    <w:rsid w:val="004F6638"/>
    <w:pPr>
      <w:tabs>
        <w:tab w:val="center" w:pos="4536"/>
        <w:tab w:val="right" w:pos="9072"/>
      </w:tabs>
    </w:pPr>
  </w:style>
  <w:style w:type="character" w:customStyle="1" w:styleId="PieddepageCar">
    <w:name w:val="Pied de page Car"/>
    <w:basedOn w:val="Policepardfaut"/>
    <w:link w:val="Pieddepage"/>
    <w:uiPriority w:val="99"/>
    <w:rsid w:val="004F6638"/>
  </w:style>
  <w:style w:type="character" w:styleId="Numrodepage">
    <w:name w:val="page number"/>
    <w:basedOn w:val="Policepardfaut"/>
    <w:uiPriority w:val="99"/>
    <w:semiHidden/>
    <w:unhideWhenUsed/>
    <w:rsid w:val="004F6638"/>
  </w:style>
  <w:style w:type="character" w:customStyle="1" w:styleId="ezstring-field">
    <w:name w:val="ezstring-field"/>
    <w:basedOn w:val="Policepardfaut"/>
    <w:rsid w:val="00586119"/>
  </w:style>
  <w:style w:type="paragraph" w:styleId="HTMLprformat">
    <w:name w:val="HTML Preformatted"/>
    <w:basedOn w:val="Normal"/>
    <w:link w:val="HTMLprformatCar"/>
    <w:uiPriority w:val="99"/>
    <w:semiHidden/>
    <w:unhideWhenUsed/>
    <w:rsid w:val="00FD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fr-FR"/>
    </w:rPr>
  </w:style>
  <w:style w:type="character" w:customStyle="1" w:styleId="HTMLprformatCar">
    <w:name w:val="HTML préformaté Car"/>
    <w:basedOn w:val="Policepardfaut"/>
    <w:link w:val="HTMLprformat"/>
    <w:uiPriority w:val="99"/>
    <w:semiHidden/>
    <w:rsid w:val="00FD1C0E"/>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4DEB"/>
    <w:rPr>
      <w:color w:val="0000FF" w:themeColor="hyperlink"/>
      <w:u w:val="single"/>
    </w:rPr>
  </w:style>
  <w:style w:type="paragraph" w:styleId="Notedebasdepage">
    <w:name w:val="footnote text"/>
    <w:basedOn w:val="Normal"/>
    <w:link w:val="NotedebasdepageCar"/>
    <w:uiPriority w:val="99"/>
    <w:unhideWhenUsed/>
    <w:rsid w:val="008A7EAC"/>
  </w:style>
  <w:style w:type="character" w:customStyle="1" w:styleId="NotedebasdepageCar">
    <w:name w:val="Note de bas de page Car"/>
    <w:basedOn w:val="Policepardfaut"/>
    <w:link w:val="Notedebasdepage"/>
    <w:uiPriority w:val="99"/>
    <w:rsid w:val="008A7EAC"/>
  </w:style>
  <w:style w:type="character" w:styleId="Marquenotebasdepage">
    <w:name w:val="footnote reference"/>
    <w:basedOn w:val="Policepardfaut"/>
    <w:uiPriority w:val="99"/>
    <w:unhideWhenUsed/>
    <w:rsid w:val="008A7EAC"/>
    <w:rPr>
      <w:vertAlign w:val="superscript"/>
    </w:rPr>
  </w:style>
  <w:style w:type="paragraph" w:styleId="Pieddepage">
    <w:name w:val="footer"/>
    <w:basedOn w:val="Normal"/>
    <w:link w:val="PieddepageCar"/>
    <w:uiPriority w:val="99"/>
    <w:unhideWhenUsed/>
    <w:rsid w:val="004F6638"/>
    <w:pPr>
      <w:tabs>
        <w:tab w:val="center" w:pos="4536"/>
        <w:tab w:val="right" w:pos="9072"/>
      </w:tabs>
    </w:pPr>
  </w:style>
  <w:style w:type="character" w:customStyle="1" w:styleId="PieddepageCar">
    <w:name w:val="Pied de page Car"/>
    <w:basedOn w:val="Policepardfaut"/>
    <w:link w:val="Pieddepage"/>
    <w:uiPriority w:val="99"/>
    <w:rsid w:val="004F6638"/>
  </w:style>
  <w:style w:type="character" w:styleId="Numrodepage">
    <w:name w:val="page number"/>
    <w:basedOn w:val="Policepardfaut"/>
    <w:uiPriority w:val="99"/>
    <w:semiHidden/>
    <w:unhideWhenUsed/>
    <w:rsid w:val="004F6638"/>
  </w:style>
  <w:style w:type="character" w:customStyle="1" w:styleId="ezstring-field">
    <w:name w:val="ezstring-field"/>
    <w:basedOn w:val="Policepardfaut"/>
    <w:rsid w:val="00586119"/>
  </w:style>
  <w:style w:type="paragraph" w:styleId="HTMLprformat">
    <w:name w:val="HTML Preformatted"/>
    <w:basedOn w:val="Normal"/>
    <w:link w:val="HTMLprformatCar"/>
    <w:uiPriority w:val="99"/>
    <w:semiHidden/>
    <w:unhideWhenUsed/>
    <w:rsid w:val="00FD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fr-FR"/>
    </w:rPr>
  </w:style>
  <w:style w:type="character" w:customStyle="1" w:styleId="HTMLprformatCar">
    <w:name w:val="HTML préformaté Car"/>
    <w:basedOn w:val="Policepardfaut"/>
    <w:link w:val="HTMLprformat"/>
    <w:uiPriority w:val="99"/>
    <w:semiHidden/>
    <w:rsid w:val="00FD1C0E"/>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061">
      <w:bodyDiv w:val="1"/>
      <w:marLeft w:val="0"/>
      <w:marRight w:val="0"/>
      <w:marTop w:val="0"/>
      <w:marBottom w:val="0"/>
      <w:divBdr>
        <w:top w:val="none" w:sz="0" w:space="0" w:color="auto"/>
        <w:left w:val="none" w:sz="0" w:space="0" w:color="auto"/>
        <w:bottom w:val="none" w:sz="0" w:space="0" w:color="auto"/>
        <w:right w:val="none" w:sz="0" w:space="0" w:color="auto"/>
      </w:divBdr>
    </w:div>
    <w:div w:id="22634233">
      <w:bodyDiv w:val="1"/>
      <w:marLeft w:val="0"/>
      <w:marRight w:val="0"/>
      <w:marTop w:val="0"/>
      <w:marBottom w:val="0"/>
      <w:divBdr>
        <w:top w:val="none" w:sz="0" w:space="0" w:color="auto"/>
        <w:left w:val="none" w:sz="0" w:space="0" w:color="auto"/>
        <w:bottom w:val="none" w:sz="0" w:space="0" w:color="auto"/>
        <w:right w:val="none" w:sz="0" w:space="0" w:color="auto"/>
      </w:divBdr>
    </w:div>
    <w:div w:id="478225537">
      <w:bodyDiv w:val="1"/>
      <w:marLeft w:val="0"/>
      <w:marRight w:val="0"/>
      <w:marTop w:val="0"/>
      <w:marBottom w:val="0"/>
      <w:divBdr>
        <w:top w:val="none" w:sz="0" w:space="0" w:color="auto"/>
        <w:left w:val="none" w:sz="0" w:space="0" w:color="auto"/>
        <w:bottom w:val="none" w:sz="0" w:space="0" w:color="auto"/>
        <w:right w:val="none" w:sz="0" w:space="0" w:color="auto"/>
      </w:divBdr>
      <w:divsChild>
        <w:div w:id="207689794">
          <w:marLeft w:val="0"/>
          <w:marRight w:val="0"/>
          <w:marTop w:val="0"/>
          <w:marBottom w:val="0"/>
          <w:divBdr>
            <w:top w:val="none" w:sz="0" w:space="0" w:color="auto"/>
            <w:left w:val="none" w:sz="0" w:space="0" w:color="auto"/>
            <w:bottom w:val="none" w:sz="0" w:space="0" w:color="auto"/>
            <w:right w:val="none" w:sz="0" w:space="0" w:color="auto"/>
          </w:divBdr>
        </w:div>
      </w:divsChild>
    </w:div>
    <w:div w:id="1104763634">
      <w:bodyDiv w:val="1"/>
      <w:marLeft w:val="0"/>
      <w:marRight w:val="0"/>
      <w:marTop w:val="0"/>
      <w:marBottom w:val="0"/>
      <w:divBdr>
        <w:top w:val="none" w:sz="0" w:space="0" w:color="auto"/>
        <w:left w:val="none" w:sz="0" w:space="0" w:color="auto"/>
        <w:bottom w:val="none" w:sz="0" w:space="0" w:color="auto"/>
        <w:right w:val="none" w:sz="0" w:space="0" w:color="auto"/>
      </w:divBdr>
    </w:div>
    <w:div w:id="1888688060">
      <w:bodyDiv w:val="1"/>
      <w:marLeft w:val="0"/>
      <w:marRight w:val="0"/>
      <w:marTop w:val="0"/>
      <w:marBottom w:val="0"/>
      <w:divBdr>
        <w:top w:val="none" w:sz="0" w:space="0" w:color="auto"/>
        <w:left w:val="none" w:sz="0" w:space="0" w:color="auto"/>
        <w:bottom w:val="none" w:sz="0" w:space="0" w:color="auto"/>
        <w:right w:val="none" w:sz="0" w:space="0" w:color="auto"/>
      </w:divBdr>
    </w:div>
    <w:div w:id="2060280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hdl.handle.net/10934/RM0001.COLLECT.462527"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6269</TotalTime>
  <Pages>24</Pages>
  <Words>6109</Words>
  <Characters>33604</Characters>
  <Application>Microsoft Macintosh Word</Application>
  <DocSecurity>0</DocSecurity>
  <Lines>280</Lines>
  <Paragraphs>79</Paragraphs>
  <ScaleCrop>false</ScaleCrop>
  <Company/>
  <LinksUpToDate>false</LinksUpToDate>
  <CharactersWithSpaces>39634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310</cp:revision>
  <dcterms:created xsi:type="dcterms:W3CDTF">2018-12-07T17:35:00Z</dcterms:created>
  <dcterms:modified xsi:type="dcterms:W3CDTF">2020-04-10T11:07:00Z</dcterms:modified>
</cp:coreProperties>
</file>